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2C2E7409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6249A40D" w14:textId="77777777" w:rsidR="00EE712B" w:rsidRDefault="00B57947" w:rsidP="00EE712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EE712B" w:rsidRPr="00EE712B">
        <w:rPr>
          <w:rFonts w:ascii="Arial" w:eastAsia="Times New Roman" w:hAnsi="Arial" w:cs="Arial"/>
          <w:b/>
          <w:u w:val="single"/>
          <w:lang w:eastAsia="cs-CZ"/>
        </w:rPr>
        <w:t xml:space="preserve">Stavební úpravy bytových jednotek v domech Staropramenná 547/9 a </w:t>
      </w:r>
    </w:p>
    <w:p w14:paraId="2FB13A49" w14:textId="11075B63" w:rsidR="00B06C33" w:rsidRPr="00CE6EE1" w:rsidRDefault="00EE712B" w:rsidP="00EE712B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EE712B">
        <w:rPr>
          <w:rFonts w:ascii="Arial" w:eastAsia="Times New Roman" w:hAnsi="Arial" w:cs="Arial"/>
          <w:b/>
          <w:u w:val="single"/>
          <w:lang w:eastAsia="cs-CZ"/>
        </w:rPr>
        <w:t>Štefánikova 249/30, Praha 5</w:t>
      </w:r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CAB5DC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386080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922CDD3" w14:textId="77777777" w:rsidR="00280B22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9B5586" w:rsidRPr="009B5586">
        <w:rPr>
          <w:rFonts w:ascii="Arial" w:eastAsia="Times New Roman" w:hAnsi="Arial" w:cs="Arial"/>
          <w:b/>
          <w:bCs/>
          <w:u w:val="single"/>
          <w:lang w:eastAsia="cs-CZ"/>
        </w:rPr>
        <w:t xml:space="preserve">Stavební úpravy bytových jednotek v domech Staropramenná 547/9 a </w:t>
      </w:r>
    </w:p>
    <w:p w14:paraId="64959A77" w14:textId="310D0D3D" w:rsidR="00B06C33" w:rsidRPr="00CE6EE1" w:rsidRDefault="009B5586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9B5586">
        <w:rPr>
          <w:rFonts w:ascii="Arial" w:eastAsia="Times New Roman" w:hAnsi="Arial" w:cs="Arial"/>
          <w:b/>
          <w:bCs/>
          <w:u w:val="single"/>
          <w:lang w:eastAsia="cs-CZ"/>
        </w:rPr>
        <w:t>Štefánikova 249/</w:t>
      </w:r>
      <w:r w:rsidR="00EE712B">
        <w:rPr>
          <w:rFonts w:ascii="Arial" w:eastAsia="Times New Roman" w:hAnsi="Arial" w:cs="Arial"/>
          <w:b/>
          <w:bCs/>
          <w:u w:val="single"/>
          <w:lang w:eastAsia="cs-CZ"/>
        </w:rPr>
        <w:t>30</w:t>
      </w:r>
      <w:r w:rsidRPr="009B5586">
        <w:rPr>
          <w:rFonts w:ascii="Arial" w:eastAsia="Times New Roman" w:hAnsi="Arial" w:cs="Arial"/>
          <w:b/>
          <w:bCs/>
          <w:u w:val="single"/>
          <w:lang w:eastAsia="cs-CZ"/>
        </w:rPr>
        <w:t>, Praha 5</w:t>
      </w:r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1C40DA1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580BAE" w14:textId="77777777" w:rsidR="00280B22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9B5586" w:rsidRPr="009B5586">
        <w:rPr>
          <w:rFonts w:ascii="Arial" w:eastAsia="Times New Roman" w:hAnsi="Arial" w:cs="Arial"/>
          <w:b/>
          <w:bCs/>
          <w:u w:val="single"/>
          <w:lang w:eastAsia="cs-CZ"/>
        </w:rPr>
        <w:t xml:space="preserve">Stavební úpravy bytových jednotek v domech Staropramenná 547/9 a </w:t>
      </w:r>
    </w:p>
    <w:p w14:paraId="613EEEF2" w14:textId="55241338" w:rsidR="00F66F38" w:rsidRPr="00CE6EE1" w:rsidRDefault="009B5586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9B5586">
        <w:rPr>
          <w:rFonts w:ascii="Arial" w:eastAsia="Times New Roman" w:hAnsi="Arial" w:cs="Arial"/>
          <w:b/>
          <w:bCs/>
          <w:u w:val="single"/>
          <w:lang w:eastAsia="cs-CZ"/>
        </w:rPr>
        <w:t>Štefánikova 249/</w:t>
      </w:r>
      <w:r w:rsidR="00EE712B">
        <w:rPr>
          <w:rFonts w:ascii="Arial" w:eastAsia="Times New Roman" w:hAnsi="Arial" w:cs="Arial"/>
          <w:b/>
          <w:bCs/>
          <w:u w:val="single"/>
          <w:lang w:eastAsia="cs-CZ"/>
        </w:rPr>
        <w:t>30</w:t>
      </w:r>
      <w:r w:rsidRPr="009B5586">
        <w:rPr>
          <w:rFonts w:ascii="Arial" w:eastAsia="Times New Roman" w:hAnsi="Arial" w:cs="Arial"/>
          <w:b/>
          <w:bCs/>
          <w:u w:val="single"/>
          <w:lang w:eastAsia="cs-CZ"/>
        </w:rPr>
        <w:t>, Praha 5</w:t>
      </w:r>
      <w:r w:rsidR="00F66F38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2FADBDFC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D54A2" w:rsidRPr="001D54A2">
        <w:rPr>
          <w:rFonts w:ascii="Arial" w:eastAsia="Times New Roman" w:hAnsi="Arial" w:cs="Arial"/>
          <w:b/>
          <w:lang w:eastAsia="cs-CZ"/>
        </w:rPr>
        <w:t xml:space="preserve">stavební </w:t>
      </w:r>
      <w:r w:rsidR="009B5586">
        <w:rPr>
          <w:rFonts w:ascii="Arial" w:eastAsia="Times New Roman" w:hAnsi="Arial" w:cs="Arial"/>
          <w:b/>
          <w:lang w:eastAsia="cs-CZ"/>
        </w:rPr>
        <w:t>úpravy/</w:t>
      </w:r>
      <w:r w:rsidR="001D54A2" w:rsidRPr="001D54A2">
        <w:rPr>
          <w:rFonts w:ascii="Arial" w:eastAsia="Times New Roman" w:hAnsi="Arial" w:cs="Arial"/>
          <w:b/>
          <w:lang w:eastAsia="cs-CZ"/>
        </w:rPr>
        <w:t>opravy</w:t>
      </w:r>
      <w:r w:rsidR="009B5586">
        <w:rPr>
          <w:rFonts w:ascii="Arial" w:eastAsia="Times New Roman" w:hAnsi="Arial" w:cs="Arial"/>
          <w:b/>
          <w:lang w:eastAsia="cs-CZ"/>
        </w:rPr>
        <w:t>/rekonstrukce</w:t>
      </w:r>
      <w:r w:rsidR="001D54A2" w:rsidRPr="001D54A2">
        <w:rPr>
          <w:rFonts w:ascii="Arial" w:eastAsia="Times New Roman" w:hAnsi="Arial" w:cs="Arial"/>
          <w:b/>
          <w:lang w:eastAsia="cs-CZ"/>
        </w:rPr>
        <w:t xml:space="preserve"> bytových jednotek,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9B5586">
        <w:rPr>
          <w:rFonts w:ascii="Arial" w:eastAsia="Times New Roman" w:hAnsi="Arial" w:cs="Arial"/>
          <w:b/>
          <w:lang w:eastAsia="cs-CZ"/>
        </w:rPr>
        <w:t>400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5F7084C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13AB45FB" w:rsidR="00E36CC3" w:rsidRPr="00CE6EE1" w:rsidRDefault="00280B22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07CDBDD5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4BB10E87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6</w:t>
      </w:r>
      <w:r w:rsidR="00F037B3">
        <w:rPr>
          <w:rFonts w:ascii="Arial" w:eastAsia="Times New Roman" w:hAnsi="Arial" w:cs="Arial"/>
          <w:lang w:eastAsia="cs-CZ"/>
        </w:rPr>
        <w:t xml:space="preserve"> = Příloha č. 6</w:t>
      </w:r>
      <w:bookmarkStart w:id="1" w:name="_GoBack"/>
      <w:bookmarkEnd w:id="1"/>
      <w:r w:rsidR="00F037B3">
        <w:rPr>
          <w:rFonts w:ascii="Arial" w:eastAsia="Times New Roman" w:hAnsi="Arial" w:cs="Arial"/>
          <w:lang w:eastAsia="cs-CZ"/>
        </w:rPr>
        <w:t xml:space="preserve">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49E2F11" w14:textId="77777777" w:rsidR="00280B22" w:rsidRDefault="00D90F31" w:rsidP="00C6316D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9B5586" w:rsidRPr="009B5586">
        <w:rPr>
          <w:rFonts w:ascii="Arial" w:hAnsi="Arial" w:cs="Arial"/>
          <w:b/>
          <w:u w:val="single"/>
        </w:rPr>
        <w:t xml:space="preserve">Stavební úpravy bytových jednotek v domech Staropramenná 547/9 a </w:t>
      </w:r>
    </w:p>
    <w:p w14:paraId="4B55005B" w14:textId="1F40A98B" w:rsidR="00C6316D" w:rsidRDefault="009B5586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9B5586">
        <w:rPr>
          <w:rFonts w:ascii="Arial" w:hAnsi="Arial" w:cs="Arial"/>
          <w:b/>
          <w:u w:val="single"/>
        </w:rPr>
        <w:t>Štefánikova 249/</w:t>
      </w:r>
      <w:r w:rsidR="00EE712B">
        <w:rPr>
          <w:rFonts w:ascii="Arial" w:hAnsi="Arial" w:cs="Arial"/>
          <w:b/>
          <w:u w:val="single"/>
        </w:rPr>
        <w:t>30</w:t>
      </w:r>
      <w:r w:rsidRPr="009B5586">
        <w:rPr>
          <w:rFonts w:ascii="Arial" w:hAnsi="Arial" w:cs="Arial"/>
          <w:b/>
          <w:u w:val="single"/>
        </w:rPr>
        <w:t>, Praha 5</w:t>
      </w:r>
      <w:r w:rsidR="00D90F31"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2CFF10E1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386080">
        <w:rPr>
          <w:rFonts w:ascii="Arial" w:hAnsi="Arial" w:cs="Arial"/>
        </w:rPr>
        <w:t>7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17E12AD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9B5586" w:rsidRPr="009B5586">
        <w:rPr>
          <w:rFonts w:ascii="Arial" w:hAnsi="Arial" w:cs="Arial"/>
          <w:b/>
        </w:rPr>
        <w:t>Stavební úpravy bytových jednotek v domech Staropramenná 547/9 a Štefánikova 249/</w:t>
      </w:r>
      <w:r w:rsidR="00EE712B">
        <w:rPr>
          <w:rFonts w:ascii="Arial" w:hAnsi="Arial" w:cs="Arial"/>
          <w:b/>
        </w:rPr>
        <w:t>30</w:t>
      </w:r>
      <w:r w:rsidR="009B5586" w:rsidRPr="009B5586">
        <w:rPr>
          <w:rFonts w:ascii="Arial" w:hAnsi="Arial" w:cs="Arial"/>
          <w:b/>
        </w:rPr>
        <w:t>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B6A48C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386080">
        <w:rPr>
          <w:rFonts w:ascii="Arial" w:hAnsi="Arial" w:cs="Arial"/>
          <w:bCs/>
        </w:rPr>
        <w:t>8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4D851B9D" w14:textId="77777777" w:rsidR="00280B22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9B5586" w:rsidRPr="009B5586">
        <w:rPr>
          <w:rFonts w:ascii="Arial" w:hAnsi="Arial" w:cs="Arial"/>
          <w:b/>
          <w:u w:val="single"/>
        </w:rPr>
        <w:t xml:space="preserve">Stavební úpravy bytových jednotek v domech Staropramenná 547/9 a </w:t>
      </w:r>
    </w:p>
    <w:p w14:paraId="156D9F8E" w14:textId="71881A5F" w:rsidR="00381F6A" w:rsidRPr="00CE6EE1" w:rsidRDefault="009B5586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9B5586">
        <w:rPr>
          <w:rFonts w:ascii="Arial" w:hAnsi="Arial" w:cs="Arial"/>
          <w:b/>
          <w:u w:val="single"/>
        </w:rPr>
        <w:t>Štefánikova 249/</w:t>
      </w:r>
      <w:r w:rsidR="00EE712B">
        <w:rPr>
          <w:rFonts w:ascii="Arial" w:hAnsi="Arial" w:cs="Arial"/>
          <w:b/>
          <w:u w:val="single"/>
        </w:rPr>
        <w:t>30</w:t>
      </w:r>
      <w:r w:rsidRPr="009B5586">
        <w:rPr>
          <w:rFonts w:ascii="Arial" w:hAnsi="Arial" w:cs="Arial"/>
          <w:b/>
          <w:u w:val="single"/>
        </w:rPr>
        <w:t>, Praha 5</w:t>
      </w:r>
      <w:r w:rsidR="00B57947"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80B22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558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EE712B"/>
    <w:rsid w:val="00F01198"/>
    <w:rsid w:val="00F037B3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2051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6</cp:revision>
  <dcterms:created xsi:type="dcterms:W3CDTF">2025-05-27T10:51:00Z</dcterms:created>
  <dcterms:modified xsi:type="dcterms:W3CDTF">2025-10-01T07:57:00Z</dcterms:modified>
</cp:coreProperties>
</file>