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E1F5E" w14:textId="77777777" w:rsidR="00953A5D" w:rsidRPr="00953A5D" w:rsidRDefault="00953A5D" w:rsidP="00953A5D"/>
    <w:p w14:paraId="57A60D26" w14:textId="0D628C3E"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185346E5" w14:textId="77777777" w:rsidR="00E2467E" w:rsidRPr="006B55E3" w:rsidRDefault="00E2467E" w:rsidP="00E2467E">
      <w:pPr>
        <w:rPr>
          <w:sz w:val="22"/>
          <w:szCs w:val="22"/>
        </w:rPr>
      </w:pPr>
    </w:p>
    <w:p w14:paraId="4DD37BBC"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453EAC25" w14:textId="77777777" w:rsidR="00B8773E" w:rsidRPr="006B55E3" w:rsidRDefault="00B8773E" w:rsidP="00E2467E">
      <w:pPr>
        <w:jc w:val="both"/>
        <w:rPr>
          <w:b/>
          <w:sz w:val="22"/>
          <w:szCs w:val="22"/>
        </w:rPr>
      </w:pPr>
    </w:p>
    <w:p w14:paraId="105EE0E9" w14:textId="77777777" w:rsidR="00E2467E" w:rsidRPr="006B55E3" w:rsidRDefault="00E2467E" w:rsidP="00E2467E">
      <w:pPr>
        <w:jc w:val="both"/>
        <w:rPr>
          <w:b/>
          <w:sz w:val="22"/>
          <w:szCs w:val="22"/>
        </w:rPr>
      </w:pPr>
    </w:p>
    <w:p w14:paraId="22E6F97A"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11FD84F4" w14:textId="77777777" w:rsidR="00E2467E" w:rsidRPr="006B55E3" w:rsidRDefault="00E2467E" w:rsidP="00E2467E">
      <w:pPr>
        <w:jc w:val="both"/>
        <w:rPr>
          <w:b/>
          <w:sz w:val="22"/>
          <w:szCs w:val="22"/>
        </w:rPr>
      </w:pPr>
    </w:p>
    <w:p w14:paraId="45E250FE"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1649FDA3"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2F941621" w14:textId="77777777"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7B213C">
        <w:rPr>
          <w:rFonts w:eastAsia="Calibri"/>
          <w:sz w:val="22"/>
          <w:szCs w:val="22"/>
          <w:lang w:eastAsia="en-US"/>
        </w:rPr>
        <w:t xml:space="preserve">Bc. Lukášem Heroldem, </w:t>
      </w:r>
      <w:r w:rsidR="00B4566F">
        <w:rPr>
          <w:rFonts w:eastAsia="Calibri"/>
          <w:sz w:val="22"/>
          <w:szCs w:val="22"/>
          <w:lang w:eastAsia="en-US"/>
        </w:rPr>
        <w:t>starostou</w:t>
      </w:r>
      <w:r w:rsidR="00D84388" w:rsidRPr="006B55E3">
        <w:rPr>
          <w:rFonts w:eastAsia="Calibri"/>
          <w:sz w:val="22"/>
          <w:szCs w:val="22"/>
          <w:lang w:eastAsia="en-US"/>
        </w:rPr>
        <w:t xml:space="preserve"> </w:t>
      </w:r>
    </w:p>
    <w:p w14:paraId="5F21C781" w14:textId="77777777" w:rsidR="00E2467E" w:rsidRPr="006B55E3" w:rsidRDefault="00E2467E" w:rsidP="00FE555A">
      <w:pPr>
        <w:ind w:left="567"/>
        <w:jc w:val="both"/>
        <w:rPr>
          <w:sz w:val="22"/>
          <w:szCs w:val="22"/>
        </w:rPr>
      </w:pPr>
      <w:r w:rsidRPr="006B55E3">
        <w:rPr>
          <w:sz w:val="22"/>
          <w:szCs w:val="22"/>
        </w:rPr>
        <w:t>IČ:</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2DEF7FB3"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5802B5B7"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7B021674"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1A244C57" w14:textId="77777777" w:rsidR="00123CDA" w:rsidRDefault="00123CDA" w:rsidP="00FE555A">
      <w:pPr>
        <w:ind w:left="567"/>
        <w:jc w:val="both"/>
        <w:rPr>
          <w:sz w:val="22"/>
          <w:szCs w:val="22"/>
        </w:rPr>
      </w:pPr>
    </w:p>
    <w:p w14:paraId="7D91642B"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4DBCB929" w14:textId="77777777" w:rsidR="005C5CA0" w:rsidRPr="006B55E3"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6B55E3">
        <w:rPr>
          <w:b/>
          <w:sz w:val="22"/>
          <w:szCs w:val="22"/>
        </w:rPr>
        <w:t>CENTRA a. s.</w:t>
      </w:r>
    </w:p>
    <w:p w14:paraId="5C183754" w14:textId="77777777" w:rsidR="005C5CA0" w:rsidRPr="006B55E3" w:rsidRDefault="005C5CA0" w:rsidP="00FE555A">
      <w:pPr>
        <w:ind w:left="567"/>
        <w:jc w:val="both"/>
        <w:rPr>
          <w:sz w:val="22"/>
          <w:szCs w:val="22"/>
        </w:rPr>
      </w:pPr>
      <w:r w:rsidRPr="003C01BA">
        <w:rPr>
          <w:sz w:val="22"/>
          <w:szCs w:val="22"/>
        </w:rPr>
        <w:t xml:space="preserve">se sídlem: </w:t>
      </w:r>
      <w:r w:rsidR="00F05344" w:rsidRPr="003C01BA">
        <w:rPr>
          <w:sz w:val="22"/>
          <w:szCs w:val="22"/>
        </w:rPr>
        <w:tab/>
      </w:r>
      <w:r w:rsidR="00F05344" w:rsidRPr="003C01BA">
        <w:rPr>
          <w:sz w:val="22"/>
          <w:szCs w:val="22"/>
        </w:rPr>
        <w:tab/>
      </w:r>
      <w:r w:rsidRPr="003C01BA">
        <w:rPr>
          <w:sz w:val="22"/>
          <w:szCs w:val="22"/>
        </w:rPr>
        <w:t xml:space="preserve">150 00 Praha 5, </w:t>
      </w:r>
      <w:r w:rsidR="00B61906" w:rsidRPr="003C01BA">
        <w:rPr>
          <w:sz w:val="22"/>
          <w:szCs w:val="22"/>
        </w:rPr>
        <w:t xml:space="preserve">Na </w:t>
      </w:r>
      <w:proofErr w:type="spellStart"/>
      <w:r w:rsidR="00B61906" w:rsidRPr="003C01BA">
        <w:rPr>
          <w:sz w:val="22"/>
          <w:szCs w:val="22"/>
        </w:rPr>
        <w:t>Zatlance</w:t>
      </w:r>
      <w:proofErr w:type="spellEnd"/>
      <w:r w:rsidR="00B61906" w:rsidRPr="003C01BA">
        <w:rPr>
          <w:sz w:val="22"/>
          <w:szCs w:val="22"/>
        </w:rPr>
        <w:t xml:space="preserve"> 1350/13</w:t>
      </w:r>
    </w:p>
    <w:p w14:paraId="280F7EC3" w14:textId="77777777" w:rsidR="005C5CA0" w:rsidRPr="006B55E3" w:rsidRDefault="005C5CA0" w:rsidP="00FE555A">
      <w:pPr>
        <w:ind w:left="567"/>
        <w:jc w:val="both"/>
        <w:rPr>
          <w:sz w:val="22"/>
          <w:szCs w:val="22"/>
        </w:rPr>
      </w:pPr>
      <w:r w:rsidRPr="006B55E3">
        <w:rPr>
          <w:sz w:val="22"/>
          <w:szCs w:val="22"/>
        </w:rPr>
        <w:t xml:space="preserve">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186</w:t>
      </w:r>
      <w:r w:rsidR="00F05344" w:rsidRPr="006B55E3">
        <w:rPr>
          <w:sz w:val="22"/>
          <w:szCs w:val="22"/>
        </w:rPr>
        <w:t> </w:t>
      </w:r>
      <w:r w:rsidRPr="006B55E3">
        <w:rPr>
          <w:sz w:val="22"/>
          <w:szCs w:val="22"/>
        </w:rPr>
        <w:t>28</w:t>
      </w:r>
      <w:r w:rsidR="00FE555A" w:rsidRPr="006B55E3">
        <w:rPr>
          <w:sz w:val="22"/>
          <w:szCs w:val="22"/>
        </w:rPr>
        <w:t xml:space="preserve"> </w:t>
      </w:r>
      <w:r w:rsidRPr="006B55E3">
        <w:rPr>
          <w:sz w:val="22"/>
          <w:szCs w:val="22"/>
        </w:rPr>
        <w:t>966</w:t>
      </w:r>
    </w:p>
    <w:p w14:paraId="757ED23B" w14:textId="77777777" w:rsidR="005C5CA0" w:rsidRPr="006B55E3" w:rsidRDefault="005C5CA0" w:rsidP="00FE555A">
      <w:pPr>
        <w:ind w:left="567"/>
        <w:jc w:val="both"/>
        <w:rPr>
          <w:sz w:val="22"/>
          <w:szCs w:val="22"/>
        </w:rPr>
      </w:pPr>
      <w:r w:rsidRPr="006B55E3">
        <w:rPr>
          <w:sz w:val="22"/>
          <w:szCs w:val="22"/>
        </w:rPr>
        <w:t xml:space="preserve">DIČ: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CZ18628966</w:t>
      </w:r>
    </w:p>
    <w:p w14:paraId="1D542802" w14:textId="77777777" w:rsidR="005C5CA0" w:rsidRPr="006B55E3" w:rsidRDefault="005C5CA0" w:rsidP="00FE555A">
      <w:pPr>
        <w:ind w:left="567"/>
        <w:jc w:val="both"/>
        <w:rPr>
          <w:sz w:val="22"/>
          <w:szCs w:val="22"/>
        </w:rPr>
      </w:pPr>
      <w:r w:rsidRPr="006B55E3">
        <w:rPr>
          <w:sz w:val="22"/>
          <w:szCs w:val="22"/>
        </w:rPr>
        <w:t>zapsána</w:t>
      </w:r>
      <w:r w:rsidR="00F05344" w:rsidRPr="006B55E3">
        <w:rPr>
          <w:sz w:val="22"/>
          <w:szCs w:val="22"/>
        </w:rPr>
        <w:t>:</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v OR vedeném MS v Praze, oddíl B, vložka 9490</w:t>
      </w:r>
    </w:p>
    <w:p w14:paraId="408F90E5" w14:textId="77777777" w:rsidR="005C5CA0" w:rsidRPr="00271C8D" w:rsidRDefault="005C5CA0" w:rsidP="00184E5C">
      <w:pPr>
        <w:ind w:left="2832" w:hanging="2265"/>
        <w:jc w:val="both"/>
        <w:rPr>
          <w:sz w:val="22"/>
          <w:szCs w:val="22"/>
        </w:rPr>
      </w:pPr>
      <w:r w:rsidRPr="00271C8D">
        <w:rPr>
          <w:sz w:val="22"/>
          <w:szCs w:val="22"/>
        </w:rPr>
        <w:t>zastoupen</w:t>
      </w:r>
      <w:r w:rsidR="00F05344" w:rsidRPr="00271C8D">
        <w:rPr>
          <w:sz w:val="22"/>
          <w:szCs w:val="22"/>
        </w:rPr>
        <w:t>á</w:t>
      </w:r>
      <w:r w:rsidRPr="00271C8D">
        <w:rPr>
          <w:sz w:val="22"/>
          <w:szCs w:val="22"/>
        </w:rPr>
        <w:t xml:space="preserve">: </w:t>
      </w:r>
      <w:r w:rsidR="00F05344" w:rsidRPr="00271C8D">
        <w:rPr>
          <w:sz w:val="22"/>
          <w:szCs w:val="22"/>
        </w:rPr>
        <w:tab/>
      </w:r>
      <w:r w:rsidR="00FE555A" w:rsidRPr="00271C8D">
        <w:rPr>
          <w:sz w:val="22"/>
          <w:szCs w:val="22"/>
        </w:rPr>
        <w:tab/>
      </w:r>
      <w:r w:rsidR="00520EBA" w:rsidRPr="00271C8D">
        <w:rPr>
          <w:sz w:val="22"/>
          <w:szCs w:val="22"/>
        </w:rPr>
        <w:t>Miroslavem Bartíkem, ředitelem divize správy nemovitostí</w:t>
      </w:r>
      <w:r w:rsidR="00996654" w:rsidRPr="00271C8D">
        <w:rPr>
          <w:sz w:val="22"/>
          <w:szCs w:val="22"/>
        </w:rPr>
        <w:t>, na základě plné moci</w:t>
      </w:r>
    </w:p>
    <w:p w14:paraId="5EB6758F" w14:textId="77777777" w:rsidR="00F05344" w:rsidRPr="00271C8D" w:rsidRDefault="00F05344" w:rsidP="00184E5C">
      <w:pPr>
        <w:jc w:val="both"/>
        <w:rPr>
          <w:sz w:val="22"/>
          <w:szCs w:val="22"/>
        </w:rPr>
      </w:pPr>
      <w:r w:rsidRPr="00271C8D">
        <w:rPr>
          <w:sz w:val="22"/>
          <w:szCs w:val="22"/>
        </w:rPr>
        <w:t>(dále jen „</w:t>
      </w:r>
      <w:r w:rsidRPr="00271C8D">
        <w:rPr>
          <w:b/>
          <w:sz w:val="22"/>
          <w:szCs w:val="22"/>
        </w:rPr>
        <w:t>objednatel</w:t>
      </w:r>
      <w:r w:rsidRPr="00271C8D">
        <w:rPr>
          <w:sz w:val="22"/>
          <w:szCs w:val="22"/>
        </w:rPr>
        <w:t>“)</w:t>
      </w:r>
    </w:p>
    <w:p w14:paraId="18C8DD06" w14:textId="77777777" w:rsidR="005C5CA0" w:rsidRPr="00271C8D" w:rsidRDefault="005C5CA0" w:rsidP="005C5CA0">
      <w:pPr>
        <w:ind w:left="1134"/>
        <w:jc w:val="both"/>
        <w:rPr>
          <w:sz w:val="22"/>
          <w:szCs w:val="22"/>
        </w:rPr>
      </w:pPr>
    </w:p>
    <w:p w14:paraId="6CD3DC22" w14:textId="387AB195" w:rsidR="00E2467E" w:rsidRPr="00271C8D" w:rsidRDefault="00E2467E" w:rsidP="00184E5C">
      <w:pPr>
        <w:pStyle w:val="Podnadpis"/>
        <w:numPr>
          <w:ilvl w:val="1"/>
          <w:numId w:val="17"/>
        </w:numPr>
        <w:ind w:left="567" w:hanging="567"/>
        <w:rPr>
          <w:rFonts w:ascii="Times New Roman" w:hAnsi="Times New Roman"/>
          <w:sz w:val="22"/>
          <w:szCs w:val="22"/>
        </w:rPr>
      </w:pPr>
      <w:r w:rsidRPr="00271C8D">
        <w:rPr>
          <w:rFonts w:ascii="Times New Roman" w:hAnsi="Times New Roman"/>
          <w:sz w:val="22"/>
          <w:szCs w:val="22"/>
        </w:rPr>
        <w:t>Zhotovitel:</w:t>
      </w:r>
      <w:r w:rsidRPr="00271C8D">
        <w:rPr>
          <w:rFonts w:ascii="Times New Roman" w:hAnsi="Times New Roman"/>
          <w:sz w:val="22"/>
          <w:szCs w:val="22"/>
        </w:rPr>
        <w:tab/>
      </w:r>
      <w:r w:rsidRPr="00271C8D">
        <w:rPr>
          <w:rFonts w:ascii="Times New Roman" w:hAnsi="Times New Roman"/>
          <w:sz w:val="22"/>
          <w:szCs w:val="22"/>
        </w:rPr>
        <w:tab/>
      </w:r>
      <w:r w:rsidR="00271C8D" w:rsidRPr="00271C8D">
        <w:rPr>
          <w:rFonts w:ascii="Times New Roman" w:hAnsi="Times New Roman"/>
          <w:sz w:val="22"/>
          <w:szCs w:val="22"/>
          <w:highlight w:val="yellow"/>
        </w:rPr>
        <w:t>[DOPLNÍ ÚČASTNÍK]</w:t>
      </w:r>
    </w:p>
    <w:p w14:paraId="16B103F5" w14:textId="4AB6B6AB" w:rsidR="00C52D32" w:rsidRPr="00271C8D" w:rsidRDefault="00E2467E" w:rsidP="00184E5C">
      <w:pPr>
        <w:tabs>
          <w:tab w:val="left" w:pos="567"/>
        </w:tabs>
        <w:jc w:val="both"/>
        <w:rPr>
          <w:sz w:val="22"/>
          <w:szCs w:val="22"/>
        </w:rPr>
      </w:pPr>
      <w:r w:rsidRPr="00271C8D">
        <w:rPr>
          <w:b/>
          <w:sz w:val="22"/>
          <w:szCs w:val="22"/>
        </w:rPr>
        <w:tab/>
      </w:r>
      <w:r w:rsidRPr="00271C8D">
        <w:rPr>
          <w:sz w:val="22"/>
          <w:szCs w:val="22"/>
        </w:rPr>
        <w:t>se sídlem:</w:t>
      </w:r>
      <w:r w:rsidRPr="00271C8D">
        <w:rPr>
          <w:sz w:val="22"/>
          <w:szCs w:val="22"/>
        </w:rPr>
        <w:tab/>
      </w:r>
      <w:r w:rsidRPr="00271C8D">
        <w:rPr>
          <w:sz w:val="22"/>
          <w:szCs w:val="22"/>
        </w:rPr>
        <w:tab/>
      </w:r>
      <w:r w:rsidR="00271C8D" w:rsidRPr="00271C8D">
        <w:rPr>
          <w:sz w:val="22"/>
          <w:szCs w:val="22"/>
          <w:highlight w:val="yellow"/>
        </w:rPr>
        <w:t>[DOPLNÍ ÚČASTNÍK]</w:t>
      </w:r>
    </w:p>
    <w:p w14:paraId="1FF18E5F" w14:textId="0B55057D" w:rsidR="00E2467E" w:rsidRPr="00271C8D" w:rsidRDefault="005C5CA0" w:rsidP="00184E5C">
      <w:pPr>
        <w:tabs>
          <w:tab w:val="left" w:pos="567"/>
        </w:tabs>
        <w:jc w:val="both"/>
        <w:rPr>
          <w:sz w:val="22"/>
          <w:szCs w:val="22"/>
        </w:rPr>
      </w:pPr>
      <w:r w:rsidRPr="00271C8D">
        <w:rPr>
          <w:sz w:val="22"/>
          <w:szCs w:val="22"/>
        </w:rPr>
        <w:tab/>
      </w:r>
      <w:r w:rsidR="00E2467E" w:rsidRPr="00271C8D">
        <w:rPr>
          <w:sz w:val="22"/>
          <w:szCs w:val="22"/>
        </w:rPr>
        <w:t>zastoupená:</w:t>
      </w:r>
      <w:r w:rsidR="00E2467E" w:rsidRPr="00271C8D">
        <w:rPr>
          <w:sz w:val="22"/>
          <w:szCs w:val="22"/>
        </w:rPr>
        <w:tab/>
      </w:r>
      <w:r w:rsidR="00E2467E" w:rsidRPr="00271C8D">
        <w:rPr>
          <w:sz w:val="22"/>
          <w:szCs w:val="22"/>
        </w:rPr>
        <w:tab/>
      </w:r>
      <w:r w:rsidR="00271C8D">
        <w:rPr>
          <w:sz w:val="22"/>
          <w:szCs w:val="22"/>
          <w:highlight w:val="yellow"/>
        </w:rPr>
        <w:t>[DOPLNÍ ÚČASTNÍK]</w:t>
      </w:r>
      <w:r w:rsidR="00F859EB" w:rsidRPr="00271C8D">
        <w:rPr>
          <w:sz w:val="22"/>
          <w:szCs w:val="22"/>
        </w:rPr>
        <w:tab/>
      </w:r>
    </w:p>
    <w:p w14:paraId="10EF871D" w14:textId="05385A33" w:rsidR="00E2467E" w:rsidRPr="00271C8D" w:rsidRDefault="00E2467E" w:rsidP="00184E5C">
      <w:pPr>
        <w:tabs>
          <w:tab w:val="left" w:pos="567"/>
        </w:tabs>
        <w:jc w:val="both"/>
        <w:rPr>
          <w:sz w:val="22"/>
          <w:szCs w:val="22"/>
        </w:rPr>
      </w:pPr>
      <w:r w:rsidRPr="00271C8D">
        <w:rPr>
          <w:sz w:val="22"/>
          <w:szCs w:val="22"/>
        </w:rPr>
        <w:tab/>
        <w:t>IČ:</w:t>
      </w:r>
      <w:r w:rsidRPr="00271C8D">
        <w:rPr>
          <w:sz w:val="22"/>
          <w:szCs w:val="22"/>
        </w:rPr>
        <w:tab/>
      </w:r>
      <w:r w:rsidRPr="00271C8D">
        <w:rPr>
          <w:sz w:val="22"/>
          <w:szCs w:val="22"/>
        </w:rPr>
        <w:tab/>
      </w:r>
      <w:r w:rsidRPr="00271C8D">
        <w:rPr>
          <w:sz w:val="22"/>
          <w:szCs w:val="22"/>
        </w:rPr>
        <w:tab/>
      </w:r>
      <w:r w:rsidR="00271C8D">
        <w:rPr>
          <w:sz w:val="22"/>
          <w:szCs w:val="22"/>
          <w:highlight w:val="yellow"/>
        </w:rPr>
        <w:t>[DOPLNÍ ÚČASTNÍK]</w:t>
      </w:r>
      <w:r w:rsidR="00F859EB" w:rsidRPr="00271C8D">
        <w:rPr>
          <w:sz w:val="22"/>
          <w:szCs w:val="22"/>
        </w:rPr>
        <w:tab/>
      </w:r>
    </w:p>
    <w:p w14:paraId="501F2AA4" w14:textId="57C04FC5" w:rsidR="00C52D32" w:rsidRPr="00271C8D" w:rsidRDefault="00E2467E" w:rsidP="00184E5C">
      <w:pPr>
        <w:tabs>
          <w:tab w:val="left" w:pos="567"/>
        </w:tabs>
        <w:jc w:val="both"/>
        <w:rPr>
          <w:sz w:val="22"/>
          <w:szCs w:val="22"/>
        </w:rPr>
      </w:pPr>
      <w:r w:rsidRPr="00271C8D">
        <w:rPr>
          <w:sz w:val="22"/>
          <w:szCs w:val="22"/>
        </w:rPr>
        <w:tab/>
        <w:t>DIČ:</w:t>
      </w:r>
      <w:r w:rsidRPr="00271C8D">
        <w:rPr>
          <w:sz w:val="22"/>
          <w:szCs w:val="22"/>
        </w:rPr>
        <w:tab/>
      </w:r>
      <w:r w:rsidRPr="00271C8D">
        <w:rPr>
          <w:sz w:val="22"/>
          <w:szCs w:val="22"/>
        </w:rPr>
        <w:tab/>
      </w:r>
      <w:r w:rsidRPr="00271C8D">
        <w:rPr>
          <w:sz w:val="22"/>
          <w:szCs w:val="22"/>
        </w:rPr>
        <w:tab/>
      </w:r>
      <w:r w:rsidR="00271C8D">
        <w:rPr>
          <w:sz w:val="22"/>
          <w:szCs w:val="22"/>
          <w:highlight w:val="yellow"/>
        </w:rPr>
        <w:t>[DOPLNÍ ÚČASTNÍK]</w:t>
      </w:r>
      <w:r w:rsidR="00F859EB" w:rsidRPr="00271C8D">
        <w:rPr>
          <w:sz w:val="22"/>
          <w:szCs w:val="22"/>
        </w:rPr>
        <w:tab/>
      </w:r>
    </w:p>
    <w:p w14:paraId="56B3BDE1" w14:textId="07C11DB9" w:rsidR="00996654" w:rsidRPr="00271C8D" w:rsidRDefault="00E2467E" w:rsidP="00184E5C">
      <w:pPr>
        <w:tabs>
          <w:tab w:val="left" w:pos="567"/>
        </w:tabs>
        <w:jc w:val="both"/>
        <w:rPr>
          <w:sz w:val="22"/>
          <w:szCs w:val="22"/>
        </w:rPr>
      </w:pPr>
      <w:r w:rsidRPr="00271C8D">
        <w:rPr>
          <w:sz w:val="22"/>
          <w:szCs w:val="22"/>
        </w:rPr>
        <w:tab/>
        <w:t>bankovní spojení:</w:t>
      </w:r>
      <w:r w:rsidRPr="00271C8D">
        <w:rPr>
          <w:sz w:val="22"/>
          <w:szCs w:val="22"/>
        </w:rPr>
        <w:tab/>
      </w:r>
      <w:r w:rsidR="00271C8D">
        <w:rPr>
          <w:sz w:val="22"/>
          <w:szCs w:val="22"/>
          <w:highlight w:val="yellow"/>
        </w:rPr>
        <w:t>[DOPLNÍ ÚČASTNÍK]</w:t>
      </w:r>
    </w:p>
    <w:p w14:paraId="48883495" w14:textId="169DFDEE" w:rsidR="00996654" w:rsidRDefault="00E2467E" w:rsidP="00797996">
      <w:pPr>
        <w:tabs>
          <w:tab w:val="left" w:pos="567"/>
        </w:tabs>
        <w:jc w:val="both"/>
        <w:rPr>
          <w:sz w:val="22"/>
          <w:szCs w:val="22"/>
        </w:rPr>
      </w:pPr>
      <w:r w:rsidRPr="00271C8D">
        <w:rPr>
          <w:sz w:val="22"/>
          <w:szCs w:val="22"/>
        </w:rPr>
        <w:tab/>
        <w:t>č. účtu:</w:t>
      </w:r>
      <w:r w:rsidRPr="00271C8D">
        <w:rPr>
          <w:sz w:val="22"/>
          <w:szCs w:val="22"/>
        </w:rPr>
        <w:tab/>
      </w:r>
      <w:r w:rsidRPr="00271C8D">
        <w:rPr>
          <w:sz w:val="22"/>
          <w:szCs w:val="22"/>
        </w:rPr>
        <w:tab/>
      </w:r>
      <w:r w:rsidRPr="00271C8D">
        <w:rPr>
          <w:sz w:val="22"/>
          <w:szCs w:val="22"/>
        </w:rPr>
        <w:tab/>
      </w:r>
      <w:r w:rsidR="00271C8D">
        <w:rPr>
          <w:sz w:val="22"/>
          <w:szCs w:val="22"/>
          <w:highlight w:val="yellow"/>
        </w:rPr>
        <w:t>[DOPLNÍ ÚČASTNÍK]</w:t>
      </w:r>
    </w:p>
    <w:p w14:paraId="2C561BC9" w14:textId="355B5191"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 xml:space="preserve">Městským soudem v </w:t>
      </w:r>
      <w:r w:rsidR="00271C8D">
        <w:rPr>
          <w:sz w:val="22"/>
          <w:szCs w:val="22"/>
          <w:highlight w:val="yellow"/>
        </w:rPr>
        <w:t>[DOPLNÍ ÚČASTNÍK]</w:t>
      </w:r>
    </w:p>
    <w:p w14:paraId="7E74B7D2"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5EBCF045" w14:textId="77777777" w:rsidR="00E2467E" w:rsidRPr="006B55E3" w:rsidRDefault="00E2467E" w:rsidP="00E2467E">
      <w:pPr>
        <w:jc w:val="both"/>
        <w:rPr>
          <w:sz w:val="22"/>
          <w:szCs w:val="22"/>
        </w:rPr>
      </w:pPr>
    </w:p>
    <w:p w14:paraId="115A6002"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5321F781"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5920F457"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604A9DB2"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3E025E">
        <w:rPr>
          <w:bCs/>
          <w:sz w:val="22"/>
          <w:szCs w:val="22"/>
        </w:rPr>
        <w:t>David Švadlena</w:t>
      </w:r>
      <w:r w:rsidR="00FB3D73">
        <w:rPr>
          <w:bCs/>
          <w:sz w:val="22"/>
          <w:szCs w:val="22"/>
        </w:rPr>
        <w:t xml:space="preserve">, manažer divize správy SSN II, tel.: </w:t>
      </w:r>
      <w:r w:rsidR="003E025E">
        <w:rPr>
          <w:bCs/>
          <w:sz w:val="22"/>
          <w:szCs w:val="22"/>
        </w:rPr>
        <w:t>724 707 448</w:t>
      </w:r>
      <w:r w:rsidR="00FB3D73">
        <w:rPr>
          <w:bCs/>
          <w:sz w:val="22"/>
          <w:szCs w:val="22"/>
        </w:rPr>
        <w:t xml:space="preserve">, </w:t>
      </w:r>
      <w:hyperlink r:id="rId9" w:history="1">
        <w:r w:rsidR="003E025E" w:rsidRPr="00FE35AD">
          <w:rPr>
            <w:rStyle w:val="Hypertextovodkaz"/>
            <w:bCs/>
            <w:sz w:val="22"/>
            <w:szCs w:val="22"/>
          </w:rPr>
          <w:t>svadlena@centra.eu</w:t>
        </w:r>
      </w:hyperlink>
      <w:r w:rsidR="00FB3D73">
        <w:rPr>
          <w:bCs/>
          <w:sz w:val="22"/>
          <w:szCs w:val="22"/>
        </w:rPr>
        <w:t xml:space="preserve">, </w:t>
      </w:r>
    </w:p>
    <w:p w14:paraId="2990ABAE" w14:textId="18AAD4D5"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inženýringu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D74E0A">
        <w:rPr>
          <w:rStyle w:val="Hypertextovodkaz"/>
          <w:sz w:val="22"/>
          <w:szCs w:val="22"/>
        </w:rPr>
        <w:t>.</w:t>
      </w:r>
      <w:r w:rsidRPr="006B55E3">
        <w:rPr>
          <w:sz w:val="22"/>
          <w:szCs w:val="22"/>
        </w:rPr>
        <w:t xml:space="preserve"> </w:t>
      </w:r>
    </w:p>
    <w:p w14:paraId="2E16E8E9" w14:textId="6CB3AC98"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3E025E">
        <w:rPr>
          <w:rStyle w:val="Siln"/>
          <w:sz w:val="22"/>
          <w:szCs w:val="22"/>
        </w:rPr>
        <w:t>Daniel Konárovský</w:t>
      </w:r>
      <w:r w:rsidRPr="00CB1621">
        <w:rPr>
          <w:rStyle w:val="Siln"/>
          <w:sz w:val="22"/>
          <w:szCs w:val="22"/>
        </w:rPr>
        <w:t xml:space="preserve">, tel.: </w:t>
      </w:r>
      <w:r w:rsidR="003E025E">
        <w:rPr>
          <w:rStyle w:val="Siln"/>
          <w:sz w:val="22"/>
          <w:szCs w:val="22"/>
        </w:rPr>
        <w:t>606 613 024</w:t>
      </w:r>
      <w:r w:rsidRPr="00CB1621">
        <w:rPr>
          <w:rStyle w:val="Siln"/>
          <w:sz w:val="22"/>
          <w:szCs w:val="22"/>
        </w:rPr>
        <w:t>, email:</w:t>
      </w:r>
      <w:r w:rsidR="003E025E">
        <w:rPr>
          <w:rStyle w:val="Siln"/>
          <w:sz w:val="22"/>
          <w:szCs w:val="22"/>
        </w:rPr>
        <w:t xml:space="preserve"> konarovsky</w:t>
      </w:r>
      <w:r w:rsidR="00CB1621">
        <w:rPr>
          <w:rStyle w:val="Siln"/>
          <w:sz w:val="22"/>
          <w:szCs w:val="22"/>
        </w:rPr>
        <w:t>@centra.eu</w:t>
      </w:r>
      <w:r w:rsidR="00D74E0A">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r w:rsidRPr="00415DA5">
        <w:rPr>
          <w:sz w:val="22"/>
          <w:szCs w:val="22"/>
        </w:rPr>
        <w:t>inženýringu</w:t>
      </w:r>
      <w:r w:rsidRPr="00415DA5">
        <w:rPr>
          <w:rStyle w:val="Siln"/>
          <w:sz w:val="22"/>
          <w:szCs w:val="22"/>
        </w:rPr>
        <w:t xml:space="preserve"> CENTRA a.s. a provozní technik.</w:t>
      </w:r>
    </w:p>
    <w:p w14:paraId="3FF1FD0C"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41859D5C" w14:textId="510F2640"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271C8D">
        <w:rPr>
          <w:sz w:val="22"/>
          <w:szCs w:val="22"/>
          <w:highlight w:val="yellow"/>
        </w:rPr>
        <w:t>[DOPLNÍ ÚČASTNÍK]</w:t>
      </w:r>
    </w:p>
    <w:p w14:paraId="3DF2B0C2" w14:textId="55E7ABB9"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271C8D">
        <w:rPr>
          <w:sz w:val="22"/>
          <w:szCs w:val="22"/>
          <w:highlight w:val="yellow"/>
        </w:rPr>
        <w:t>[DOPLNÍ ÚČASTNÍK]</w:t>
      </w:r>
    </w:p>
    <w:p w14:paraId="2273D041" w14:textId="34560F6C" w:rsidR="004F5BF7" w:rsidRPr="00271C8D" w:rsidRDefault="00E2467E" w:rsidP="00BA153C">
      <w:pPr>
        <w:numPr>
          <w:ilvl w:val="2"/>
          <w:numId w:val="8"/>
        </w:numPr>
        <w:tabs>
          <w:tab w:val="num" w:pos="1418"/>
        </w:tabs>
        <w:ind w:left="1418" w:hanging="851"/>
        <w:jc w:val="both"/>
        <w:rPr>
          <w:rStyle w:val="Siln"/>
          <w:sz w:val="22"/>
          <w:szCs w:val="22"/>
        </w:rPr>
      </w:pPr>
      <w:r w:rsidRPr="00271C8D">
        <w:rPr>
          <w:rStyle w:val="Siln"/>
          <w:sz w:val="22"/>
          <w:szCs w:val="22"/>
        </w:rPr>
        <w:lastRenderedPageBreak/>
        <w:t>Při operativním technickém řízení činnosti na stav</w:t>
      </w:r>
      <w:r w:rsidR="00A82817" w:rsidRPr="00271C8D">
        <w:rPr>
          <w:rStyle w:val="Siln"/>
          <w:sz w:val="22"/>
          <w:szCs w:val="22"/>
        </w:rPr>
        <w:t>eništi</w:t>
      </w:r>
      <w:r w:rsidRPr="00271C8D">
        <w:rPr>
          <w:rStyle w:val="Siln"/>
          <w:sz w:val="22"/>
          <w:szCs w:val="22"/>
        </w:rPr>
        <w:t>, potvrzování provedených prací, zápisů ve stavebním deníku, odsouhlasování výše faktur, potvrzování protokolů o předání a převzetí</w:t>
      </w:r>
      <w:r w:rsidR="00A82817" w:rsidRPr="00271C8D">
        <w:rPr>
          <w:rStyle w:val="Siln"/>
          <w:sz w:val="22"/>
          <w:szCs w:val="22"/>
        </w:rPr>
        <w:t xml:space="preserve"> díla</w:t>
      </w:r>
      <w:r w:rsidRPr="00271C8D">
        <w:rPr>
          <w:rStyle w:val="Siln"/>
          <w:sz w:val="22"/>
          <w:szCs w:val="22"/>
        </w:rPr>
        <w:t xml:space="preserve"> zastupuje zhotovitele </w:t>
      </w:r>
      <w:r w:rsidR="00271C8D">
        <w:rPr>
          <w:sz w:val="22"/>
          <w:szCs w:val="22"/>
          <w:highlight w:val="yellow"/>
        </w:rPr>
        <w:t>[DOPLNÍ ÚČASTNÍK]</w:t>
      </w:r>
    </w:p>
    <w:p w14:paraId="500915EB" w14:textId="77777777" w:rsidR="00953A5D" w:rsidRDefault="00953A5D" w:rsidP="002E3E39">
      <w:pPr>
        <w:jc w:val="center"/>
        <w:rPr>
          <w:sz w:val="22"/>
          <w:szCs w:val="22"/>
        </w:rPr>
      </w:pPr>
    </w:p>
    <w:p w14:paraId="079ABD14"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56546089" w14:textId="0C34496E"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malého rozsahu na </w:t>
      </w:r>
      <w:r w:rsidR="00735CBF">
        <w:rPr>
          <w:rStyle w:val="Siln"/>
          <w:sz w:val="22"/>
          <w:szCs w:val="22"/>
        </w:rPr>
        <w:t xml:space="preserve">stavební práce </w:t>
      </w:r>
      <w:r w:rsidRPr="00E14B41">
        <w:rPr>
          <w:rStyle w:val="Siln"/>
          <w:sz w:val="22"/>
          <w:szCs w:val="22"/>
        </w:rPr>
        <w:t>vyhlašované</w:t>
      </w:r>
      <w:r w:rsidR="002C4A29">
        <w:rPr>
          <w:rStyle w:val="Siln"/>
          <w:sz w:val="22"/>
          <w:szCs w:val="22"/>
        </w:rPr>
        <w:t>ho</w:t>
      </w:r>
      <w:r w:rsidRPr="00E14B41">
        <w:rPr>
          <w:rStyle w:val="Siln"/>
          <w:sz w:val="22"/>
          <w:szCs w:val="22"/>
        </w:rPr>
        <w:t xml:space="preserve"> za podmínek a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7E08516A"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2028540F"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462D835D"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5B155E4D"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5DCF8FCE"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7ECCB7E2"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0EB76871"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2D2E7CF6"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6B7CAEE6"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47E8DA31"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4B076C8E"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76DC6CDB" w14:textId="77777777" w:rsidR="004A7A55" w:rsidRPr="0033118F" w:rsidRDefault="004A7A55" w:rsidP="002E3E39">
      <w:pPr>
        <w:jc w:val="center"/>
        <w:rPr>
          <w:b/>
          <w:sz w:val="22"/>
          <w:szCs w:val="22"/>
          <w:u w:val="single"/>
        </w:rPr>
      </w:pPr>
    </w:p>
    <w:p w14:paraId="014915A2"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6BCF95EE" w14:textId="77777777" w:rsidR="00E2467E" w:rsidRPr="006B55E3" w:rsidRDefault="00E2467E" w:rsidP="00E2467E">
      <w:pPr>
        <w:jc w:val="both"/>
        <w:outlineLvl w:val="0"/>
        <w:rPr>
          <w:b/>
          <w:sz w:val="22"/>
          <w:szCs w:val="22"/>
          <w:u w:val="single"/>
        </w:rPr>
      </w:pPr>
    </w:p>
    <w:p w14:paraId="15B7C081"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4560C93D"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2D1501BA" w14:textId="77777777" w:rsidR="00D43051" w:rsidRDefault="00D43051" w:rsidP="00281F59">
      <w:pPr>
        <w:pStyle w:val="Zhlav"/>
        <w:tabs>
          <w:tab w:val="clear" w:pos="4536"/>
        </w:tabs>
        <w:contextualSpacing/>
        <w:jc w:val="center"/>
        <w:rPr>
          <w:b/>
          <w:sz w:val="22"/>
          <w:szCs w:val="26"/>
        </w:rPr>
      </w:pPr>
    </w:p>
    <w:p w14:paraId="19F00ADF" w14:textId="3C85C319" w:rsidR="00A66798" w:rsidRPr="00A66798" w:rsidRDefault="00A66798" w:rsidP="00A66798">
      <w:pPr>
        <w:contextualSpacing/>
        <w:jc w:val="center"/>
        <w:rPr>
          <w:b/>
          <w:bCs/>
          <w:sz w:val="22"/>
          <w:szCs w:val="22"/>
        </w:rPr>
      </w:pPr>
    </w:p>
    <w:p w14:paraId="62DCF727" w14:textId="3F78FE67" w:rsidR="00A30E25" w:rsidRPr="00A66798" w:rsidRDefault="00271C8D" w:rsidP="00A66798">
      <w:pPr>
        <w:contextualSpacing/>
        <w:jc w:val="center"/>
        <w:rPr>
          <w:b/>
          <w:sz w:val="22"/>
          <w:szCs w:val="22"/>
        </w:rPr>
      </w:pPr>
      <w:r>
        <w:rPr>
          <w:b/>
          <w:sz w:val="22"/>
          <w:szCs w:val="22"/>
        </w:rPr>
        <w:t>„</w:t>
      </w:r>
      <w:r w:rsidRPr="00271C8D">
        <w:rPr>
          <w:b/>
          <w:sz w:val="22"/>
          <w:szCs w:val="22"/>
        </w:rPr>
        <w:t>Stavební úpravy a změna užívání bytu č. 3 na adrese náměstí 14. října 802/11</w:t>
      </w:r>
      <w:r>
        <w:rPr>
          <w:b/>
          <w:sz w:val="22"/>
          <w:szCs w:val="22"/>
        </w:rPr>
        <w:t>“</w:t>
      </w:r>
    </w:p>
    <w:p w14:paraId="59769484" w14:textId="77777777" w:rsidR="00A66798" w:rsidRPr="006B55E3" w:rsidRDefault="00A66798" w:rsidP="00A66798">
      <w:pPr>
        <w:contextualSpacing/>
        <w:jc w:val="center"/>
        <w:rPr>
          <w:b/>
          <w:sz w:val="22"/>
          <w:szCs w:val="22"/>
          <w:u w:val="single"/>
        </w:rPr>
      </w:pPr>
    </w:p>
    <w:p w14:paraId="5202746D" w14:textId="77777777"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5E43B0">
        <w:rPr>
          <w:rFonts w:ascii="Times New Roman" w:hAnsi="Times New Roman" w:cs="Times New Roman"/>
          <w:color w:val="auto"/>
          <w:sz w:val="22"/>
          <w:szCs w:val="22"/>
        </w:rPr>
        <w:t xml:space="preserve">3 </w:t>
      </w:r>
      <w:r w:rsidR="000C3511">
        <w:rPr>
          <w:rFonts w:ascii="Times New Roman" w:hAnsi="Times New Roman" w:cs="Times New Roman"/>
          <w:color w:val="auto"/>
          <w:sz w:val="22"/>
          <w:szCs w:val="22"/>
        </w:rPr>
        <w:t xml:space="preserve">a 4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F82D4D">
        <w:rPr>
          <w:rFonts w:ascii="Times New Roman" w:hAnsi="Times New Roman" w:cs="Times New Roman"/>
          <w:color w:val="auto"/>
          <w:sz w:val="22"/>
          <w:szCs w:val="22"/>
        </w:rPr>
        <w:t>Položkový rozpočet zhotovitel</w:t>
      </w:r>
      <w:r w:rsidR="000C3511">
        <w:rPr>
          <w:rFonts w:ascii="Times New Roman" w:hAnsi="Times New Roman" w:cs="Times New Roman"/>
          <w:color w:val="auto"/>
          <w:sz w:val="22"/>
          <w:szCs w:val="22"/>
        </w:rPr>
        <w:t xml:space="preserve">e a Projektová dokumentace. </w:t>
      </w:r>
    </w:p>
    <w:p w14:paraId="43394A98"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lastRenderedPageBreak/>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07EF90A0"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0C8BF0B7"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6F9E64DC" w14:textId="0772A052" w:rsidR="00FE5F0E" w:rsidRPr="006B55E3" w:rsidRDefault="00D74E0A" w:rsidP="00281F59">
      <w:pPr>
        <w:pStyle w:val="Zkladntextodsazen31"/>
        <w:numPr>
          <w:ilvl w:val="0"/>
          <w:numId w:val="44"/>
        </w:numPr>
        <w:contextualSpacing/>
        <w:rPr>
          <w:sz w:val="22"/>
          <w:szCs w:val="22"/>
        </w:rPr>
      </w:pPr>
      <w:r>
        <w:rPr>
          <w:sz w:val="22"/>
          <w:szCs w:val="22"/>
        </w:rPr>
        <w:t>Pravomocné povolení záměru</w:t>
      </w:r>
      <w:r w:rsidR="00C37CC4" w:rsidRPr="006B55E3">
        <w:rPr>
          <w:sz w:val="22"/>
          <w:szCs w:val="22"/>
        </w:rPr>
        <w:t>,</w:t>
      </w:r>
    </w:p>
    <w:p w14:paraId="2A903798" w14:textId="77777777" w:rsidR="00BB1AB5" w:rsidRDefault="005E5D9F" w:rsidP="00281F59">
      <w:pPr>
        <w:pStyle w:val="Zkladntextodsazen31"/>
        <w:numPr>
          <w:ilvl w:val="0"/>
          <w:numId w:val="44"/>
        </w:numPr>
        <w:contextualSpacing/>
        <w:rPr>
          <w:sz w:val="22"/>
          <w:szCs w:val="22"/>
        </w:rPr>
      </w:pPr>
      <w:r w:rsidRPr="00BB1AB5">
        <w:rPr>
          <w:sz w:val="22"/>
          <w:szCs w:val="22"/>
        </w:rPr>
        <w:t>Položkový rozpočet zhotovitele</w:t>
      </w:r>
      <w:r w:rsidR="00BB1AB5">
        <w:rPr>
          <w:sz w:val="22"/>
          <w:szCs w:val="22"/>
        </w:rPr>
        <w:t>,</w:t>
      </w:r>
    </w:p>
    <w:p w14:paraId="79B19CCE" w14:textId="77777777" w:rsidR="00814991" w:rsidRPr="00BB1AB5" w:rsidRDefault="005821FC" w:rsidP="00281F59">
      <w:pPr>
        <w:pStyle w:val="Zkladntextodsazen31"/>
        <w:numPr>
          <w:ilvl w:val="0"/>
          <w:numId w:val="44"/>
        </w:numPr>
        <w:contextualSpacing/>
        <w:rPr>
          <w:sz w:val="22"/>
          <w:szCs w:val="22"/>
        </w:rPr>
      </w:pPr>
      <w:r w:rsidRPr="00BB1AB5">
        <w:rPr>
          <w:sz w:val="22"/>
          <w:szCs w:val="22"/>
        </w:rPr>
        <w:t>Projektová dokumentace</w:t>
      </w:r>
      <w:r w:rsidR="00BB1AB5">
        <w:rPr>
          <w:sz w:val="22"/>
          <w:szCs w:val="22"/>
        </w:rPr>
        <w:t>,</w:t>
      </w:r>
      <w:r w:rsidR="00814991" w:rsidRPr="00BB1AB5">
        <w:rPr>
          <w:sz w:val="22"/>
          <w:szCs w:val="22"/>
        </w:rPr>
        <w:t xml:space="preserve"> </w:t>
      </w:r>
    </w:p>
    <w:p w14:paraId="2DD97BD4"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0B704A90" w14:textId="77777777" w:rsidR="00D63951" w:rsidRDefault="00D63951" w:rsidP="00281F59">
      <w:pPr>
        <w:pStyle w:val="Zkladntextodsazen31"/>
        <w:ind w:left="709" w:firstLine="0"/>
        <w:contextualSpacing/>
        <w:rPr>
          <w:rStyle w:val="Siln"/>
          <w:sz w:val="22"/>
          <w:szCs w:val="22"/>
        </w:rPr>
      </w:pPr>
    </w:p>
    <w:p w14:paraId="6DE921EB" w14:textId="5ACB6FA4"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w:t>
      </w:r>
      <w:r w:rsidR="00D74E0A">
        <w:rPr>
          <w:rStyle w:val="Siln"/>
          <w:sz w:val="22"/>
          <w:szCs w:val="22"/>
        </w:rPr>
        <w:t>.,</w:t>
      </w:r>
      <w:r w:rsidR="00E2467E" w:rsidRPr="00FC6A54">
        <w:rPr>
          <w:rStyle w:val="Siln"/>
          <w:sz w:val="22"/>
          <w:szCs w:val="22"/>
        </w:rPr>
        <w:t xml:space="preserve"> </w:t>
      </w:r>
      <w:r w:rsidR="00FC6A54" w:rsidRPr="00FC6A54">
        <w:rPr>
          <w:rStyle w:val="Siln"/>
          <w:sz w:val="22"/>
          <w:szCs w:val="22"/>
        </w:rPr>
        <w:t>3</w:t>
      </w:r>
      <w:r w:rsidR="00E2467E" w:rsidRPr="00FC6A54">
        <w:rPr>
          <w:rStyle w:val="Siln"/>
          <w:sz w:val="22"/>
          <w:szCs w:val="22"/>
        </w:rPr>
        <w:t xml:space="preserve">. </w:t>
      </w:r>
      <w:r w:rsidR="001F3ABC">
        <w:rPr>
          <w:rStyle w:val="Siln"/>
          <w:sz w:val="22"/>
          <w:szCs w:val="22"/>
        </w:rPr>
        <w:t xml:space="preserve">a 5. </w:t>
      </w:r>
      <w:r w:rsidR="00E2467E" w:rsidRPr="00FC6A54">
        <w:rPr>
          <w:rStyle w:val="Siln"/>
          <w:sz w:val="22"/>
          <w:szCs w:val="22"/>
        </w:rPr>
        <w:t>tvoří Přílohy 1</w:t>
      </w:r>
      <w:r w:rsidR="00D74E0A">
        <w:rPr>
          <w:rStyle w:val="Siln"/>
          <w:sz w:val="22"/>
          <w:szCs w:val="22"/>
        </w:rPr>
        <w:t>,</w:t>
      </w:r>
      <w:r w:rsidR="00E2467E" w:rsidRPr="00FC6A54">
        <w:rPr>
          <w:rStyle w:val="Siln"/>
          <w:sz w:val="22"/>
          <w:szCs w:val="22"/>
        </w:rPr>
        <w:t xml:space="preserve"> </w:t>
      </w:r>
      <w:r w:rsidR="00FC6A54" w:rsidRPr="00FC6A54">
        <w:rPr>
          <w:rStyle w:val="Siln"/>
          <w:sz w:val="22"/>
          <w:szCs w:val="22"/>
        </w:rPr>
        <w:t>3</w:t>
      </w:r>
      <w:r w:rsidR="009C65B1" w:rsidRPr="00FC6A54">
        <w:rPr>
          <w:rStyle w:val="Siln"/>
          <w:sz w:val="22"/>
          <w:szCs w:val="22"/>
        </w:rPr>
        <w:t xml:space="preserve"> </w:t>
      </w:r>
      <w:r w:rsidR="001F3ABC">
        <w:rPr>
          <w:rStyle w:val="Siln"/>
          <w:sz w:val="22"/>
          <w:szCs w:val="22"/>
        </w:rPr>
        <w:t xml:space="preserve">a 5 </w:t>
      </w:r>
      <w:r w:rsidR="00D74E0A">
        <w:rPr>
          <w:rStyle w:val="Siln"/>
          <w:sz w:val="22"/>
          <w:szCs w:val="22"/>
        </w:rPr>
        <w:t>této s</w:t>
      </w:r>
      <w:r w:rsidR="00FC6A54" w:rsidRPr="00FC6A54">
        <w:rPr>
          <w:rStyle w:val="Siln"/>
          <w:sz w:val="22"/>
          <w:szCs w:val="22"/>
        </w:rPr>
        <w:t xml:space="preserve">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r w:rsidR="00D74E0A">
        <w:rPr>
          <w:rStyle w:val="Siln"/>
          <w:sz w:val="22"/>
          <w:szCs w:val="22"/>
        </w:rPr>
        <w:t xml:space="preserve">2 a </w:t>
      </w:r>
      <w:r w:rsidR="00FC6A54" w:rsidRPr="00FC6A54">
        <w:rPr>
          <w:rStyle w:val="Siln"/>
          <w:sz w:val="22"/>
          <w:szCs w:val="22"/>
        </w:rPr>
        <w:t>4</w:t>
      </w:r>
      <w:r w:rsidR="005E5D9F" w:rsidRPr="00FC6A54">
        <w:rPr>
          <w:rStyle w:val="Siln"/>
          <w:sz w:val="22"/>
          <w:szCs w:val="22"/>
        </w:rPr>
        <w:t xml:space="preserve"> </w:t>
      </w:r>
      <w:r w:rsidR="000C3511" w:rsidRPr="00FC6A54">
        <w:rPr>
          <w:rStyle w:val="Siln"/>
          <w:sz w:val="22"/>
          <w:szCs w:val="22"/>
        </w:rPr>
        <w:t>tvoří samostatn</w:t>
      </w:r>
      <w:r w:rsidR="00D74E0A">
        <w:rPr>
          <w:rStyle w:val="Siln"/>
          <w:sz w:val="22"/>
          <w:szCs w:val="22"/>
        </w:rPr>
        <w:t>é</w:t>
      </w:r>
      <w:r w:rsidR="000C3511" w:rsidRPr="00FC6A54">
        <w:rPr>
          <w:rStyle w:val="Siln"/>
          <w:sz w:val="22"/>
          <w:szCs w:val="22"/>
        </w:rPr>
        <w:t xml:space="preserve"> </w:t>
      </w:r>
      <w:r w:rsidR="00D74E0A">
        <w:rPr>
          <w:rStyle w:val="Siln"/>
          <w:sz w:val="22"/>
          <w:szCs w:val="22"/>
        </w:rPr>
        <w:t xml:space="preserve">(volné) </w:t>
      </w:r>
      <w:r w:rsidR="000C3511" w:rsidRPr="00FC6A54">
        <w:rPr>
          <w:rStyle w:val="Siln"/>
          <w:sz w:val="22"/>
          <w:szCs w:val="22"/>
        </w:rPr>
        <w:t>příloh</w:t>
      </w:r>
      <w:r w:rsidR="00D74E0A">
        <w:rPr>
          <w:rStyle w:val="Siln"/>
          <w:sz w:val="22"/>
          <w:szCs w:val="22"/>
        </w:rPr>
        <w:t>y</w:t>
      </w:r>
      <w:r w:rsidR="000C3511" w:rsidRPr="00FC6A54">
        <w:rPr>
          <w:rStyle w:val="Siln"/>
          <w:sz w:val="22"/>
          <w:szCs w:val="22"/>
        </w:rPr>
        <w:t xml:space="preserve"> této smlouvy</w:t>
      </w:r>
      <w:r w:rsidR="002D71D8">
        <w:rPr>
          <w:rStyle w:val="Siln"/>
          <w:sz w:val="22"/>
          <w:szCs w:val="22"/>
        </w:rPr>
        <w:t>; u přílohy č. 2 se tak stane, pokud bude při podpisu smlouvy k dispozici,  přičemž</w:t>
      </w:r>
      <w:r w:rsidR="000C3511" w:rsidRPr="00FC6A54">
        <w:rPr>
          <w:rStyle w:val="Siln"/>
          <w:sz w:val="22"/>
          <w:szCs w:val="22"/>
        </w:rPr>
        <w:t xml:space="preserve"> </w:t>
      </w:r>
      <w:r w:rsidR="002D71D8">
        <w:rPr>
          <w:rStyle w:val="Siln"/>
          <w:sz w:val="22"/>
          <w:szCs w:val="22"/>
        </w:rPr>
        <w:t>s</w:t>
      </w:r>
      <w:r w:rsidR="00D74E0A">
        <w:rPr>
          <w:rStyle w:val="Siln"/>
          <w:sz w:val="22"/>
          <w:szCs w:val="22"/>
        </w:rPr>
        <w:t>mluvní strany pro vyloučení všech pochybností v této souvislosti uvádějí, že realizace díla vyžaduje pravomocné povolení záměru podle zákona č. 283/2021 Sb., v platném znění (dále též i jako „</w:t>
      </w:r>
      <w:r w:rsidR="00D74E0A" w:rsidRPr="00C52AD4">
        <w:rPr>
          <w:rStyle w:val="Siln"/>
          <w:b/>
          <w:sz w:val="22"/>
          <w:szCs w:val="22"/>
        </w:rPr>
        <w:t>Pravomocné povolení záměru</w:t>
      </w:r>
      <w:r w:rsidR="00D74E0A">
        <w:rPr>
          <w:rStyle w:val="Siln"/>
          <w:sz w:val="22"/>
          <w:szCs w:val="22"/>
        </w:rPr>
        <w:t xml:space="preserve">), jehož vydání zajišťuje </w:t>
      </w:r>
      <w:r w:rsidR="00743D39">
        <w:rPr>
          <w:rStyle w:val="Siln"/>
          <w:sz w:val="22"/>
          <w:szCs w:val="22"/>
        </w:rPr>
        <w:t xml:space="preserve">objednatel. Pokud Pravomocné povolení záměru nebude k dispozici před podpisem této smlouvy, bude zhotoviteli ze strany objednatele předáno po nabytí jeho právní moci.    </w:t>
      </w:r>
      <w:r w:rsidR="00D74E0A">
        <w:rPr>
          <w:rStyle w:val="Siln"/>
          <w:sz w:val="22"/>
          <w:szCs w:val="22"/>
        </w:rPr>
        <w:t xml:space="preserve">  </w:t>
      </w:r>
    </w:p>
    <w:p w14:paraId="23C729A3"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2A951008"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3394D720"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700DC6C1" w14:textId="58CAF39B"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D105D4">
        <w:rPr>
          <w:rStyle w:val="Siln"/>
          <w:sz w:val="22"/>
          <w:szCs w:val="22"/>
        </w:rPr>
        <w:t>, v platném znění</w:t>
      </w:r>
      <w:r w:rsidR="00F55A3B">
        <w:rPr>
          <w:rStyle w:val="Siln"/>
          <w:sz w:val="22"/>
          <w:szCs w:val="22"/>
        </w:rPr>
        <w:t xml:space="preserve"> (§ 1 – 8)</w:t>
      </w:r>
      <w:r w:rsidRPr="006B55E3">
        <w:rPr>
          <w:rStyle w:val="Siln"/>
          <w:sz w:val="22"/>
          <w:szCs w:val="22"/>
        </w:rPr>
        <w:t xml:space="preserve">. </w:t>
      </w:r>
    </w:p>
    <w:p w14:paraId="5B8EDC0A"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129C4447"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veškerými souvisejícími platnými předpisy, vyhláškami a technickými normami (ČSN, ČSN EN, atd.), které je nutno pro realizaci tohoto díla považovat za závazné.</w:t>
      </w:r>
    </w:p>
    <w:p w14:paraId="0FF406B4" w14:textId="77777777" w:rsidR="002B5483" w:rsidRPr="006B55E3" w:rsidRDefault="009F3AC4"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Před </w:t>
      </w:r>
      <w:r w:rsidR="00B133A8" w:rsidRPr="006B55E3">
        <w:rPr>
          <w:rStyle w:val="Siln"/>
          <w:sz w:val="22"/>
          <w:szCs w:val="22"/>
        </w:rPr>
        <w:t xml:space="preserve">zahájením prací zhotovitel předá </w:t>
      </w:r>
      <w:r w:rsidR="003E304E" w:rsidRPr="006B55E3">
        <w:rPr>
          <w:rStyle w:val="Siln"/>
          <w:sz w:val="22"/>
          <w:szCs w:val="22"/>
        </w:rPr>
        <w:t xml:space="preserve">objednateli </w:t>
      </w:r>
      <w:r w:rsidR="00B133A8" w:rsidRPr="006B55E3">
        <w:rPr>
          <w:rStyle w:val="Siln"/>
          <w:sz w:val="22"/>
          <w:szCs w:val="22"/>
        </w:rPr>
        <w:t>k odsouhlasení podrobný harmonogram</w:t>
      </w:r>
      <w:r w:rsidR="00E439D3" w:rsidRPr="006B55E3">
        <w:rPr>
          <w:rStyle w:val="Siln"/>
          <w:sz w:val="22"/>
          <w:szCs w:val="22"/>
        </w:rPr>
        <w:t xml:space="preserve"> </w:t>
      </w:r>
      <w:r w:rsidR="00B133A8" w:rsidRPr="006B55E3">
        <w:rPr>
          <w:rStyle w:val="Siln"/>
          <w:sz w:val="22"/>
          <w:szCs w:val="22"/>
        </w:rPr>
        <w:t xml:space="preserve">prací. </w:t>
      </w:r>
    </w:p>
    <w:p w14:paraId="1FB1CFA1" w14:textId="77777777" w:rsidR="00281F59" w:rsidRDefault="00281F59" w:rsidP="002E3E39">
      <w:pPr>
        <w:pStyle w:val="Zkladntextodsazen31"/>
        <w:tabs>
          <w:tab w:val="num" w:pos="862"/>
        </w:tabs>
        <w:spacing w:before="120"/>
        <w:ind w:left="709" w:firstLine="0"/>
        <w:jc w:val="center"/>
        <w:rPr>
          <w:rStyle w:val="Siln"/>
          <w:sz w:val="22"/>
          <w:szCs w:val="22"/>
        </w:rPr>
      </w:pPr>
    </w:p>
    <w:p w14:paraId="03771BB9"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0B6F3F95" w14:textId="77777777" w:rsidR="00E2467E" w:rsidRPr="006B55E3" w:rsidRDefault="00E2467E" w:rsidP="00E2467E">
      <w:pPr>
        <w:pStyle w:val="Zkladntextodsazen31"/>
        <w:ind w:left="709" w:firstLine="0"/>
        <w:rPr>
          <w:sz w:val="22"/>
          <w:szCs w:val="22"/>
        </w:rPr>
      </w:pPr>
    </w:p>
    <w:p w14:paraId="45E6F385" w14:textId="4986C98F" w:rsidR="009F3D93" w:rsidRPr="00A66798"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e</w:t>
      </w:r>
      <w:r w:rsidR="007B213C">
        <w:rPr>
          <w:rStyle w:val="Siln"/>
          <w:sz w:val="22"/>
          <w:szCs w:val="22"/>
        </w:rPr>
        <w:t xml:space="preserve"> </w:t>
      </w:r>
      <w:r w:rsidR="007B213C" w:rsidRPr="009F3D93">
        <w:rPr>
          <w:rStyle w:val="Siln"/>
          <w:sz w:val="22"/>
          <w:szCs w:val="22"/>
        </w:rPr>
        <w:t xml:space="preserve">objekt </w:t>
      </w:r>
      <w:r w:rsidR="007B213C" w:rsidRPr="00CB1621">
        <w:rPr>
          <w:rStyle w:val="Siln"/>
          <w:sz w:val="22"/>
          <w:szCs w:val="22"/>
        </w:rPr>
        <w:t>č. p.</w:t>
      </w:r>
      <w:r w:rsidR="007B213C">
        <w:rPr>
          <w:rStyle w:val="Siln"/>
          <w:sz w:val="22"/>
          <w:szCs w:val="22"/>
        </w:rPr>
        <w:t xml:space="preserve"> </w:t>
      </w:r>
      <w:r w:rsidR="002D71D8">
        <w:rPr>
          <w:rStyle w:val="Siln"/>
          <w:sz w:val="22"/>
          <w:szCs w:val="22"/>
        </w:rPr>
        <w:t>802</w:t>
      </w:r>
      <w:r w:rsidR="007B213C" w:rsidRPr="00F439EC">
        <w:rPr>
          <w:rStyle w:val="Siln"/>
          <w:sz w:val="22"/>
          <w:szCs w:val="22"/>
        </w:rPr>
        <w:t xml:space="preserve">, k. </w:t>
      </w:r>
      <w:proofErr w:type="spellStart"/>
      <w:r w:rsidR="007B213C" w:rsidRPr="00F439EC">
        <w:rPr>
          <w:rStyle w:val="Siln"/>
          <w:sz w:val="22"/>
          <w:szCs w:val="22"/>
        </w:rPr>
        <w:t>ú.</w:t>
      </w:r>
      <w:proofErr w:type="spellEnd"/>
      <w:r w:rsidR="007B213C" w:rsidRPr="00F439EC">
        <w:rPr>
          <w:rStyle w:val="Siln"/>
          <w:sz w:val="22"/>
          <w:szCs w:val="22"/>
        </w:rPr>
        <w:t xml:space="preserve"> </w:t>
      </w:r>
      <w:r w:rsidR="007B213C">
        <w:rPr>
          <w:rStyle w:val="Siln"/>
          <w:sz w:val="22"/>
          <w:szCs w:val="22"/>
        </w:rPr>
        <w:t>Smíchov</w:t>
      </w:r>
      <w:r w:rsidR="00A66798">
        <w:rPr>
          <w:rStyle w:val="Siln"/>
          <w:sz w:val="22"/>
          <w:szCs w:val="22"/>
        </w:rPr>
        <w:t>, nám. 14. října 802/11</w:t>
      </w:r>
      <w:r w:rsidR="007B213C" w:rsidRPr="00A43314">
        <w:rPr>
          <w:rStyle w:val="Siln"/>
          <w:sz w:val="22"/>
          <w:szCs w:val="22"/>
        </w:rPr>
        <w:t xml:space="preserve">, Praha 5, byt č. </w:t>
      </w:r>
      <w:r w:rsidR="00A66798">
        <w:rPr>
          <w:rStyle w:val="Siln"/>
          <w:sz w:val="22"/>
          <w:szCs w:val="22"/>
        </w:rPr>
        <w:t>802</w:t>
      </w:r>
      <w:r w:rsidR="007B213C">
        <w:rPr>
          <w:rStyle w:val="Siln"/>
          <w:sz w:val="22"/>
          <w:szCs w:val="22"/>
        </w:rPr>
        <w:t>/</w:t>
      </w:r>
      <w:r w:rsidR="00A66798">
        <w:rPr>
          <w:rStyle w:val="Siln"/>
          <w:sz w:val="22"/>
          <w:szCs w:val="22"/>
        </w:rPr>
        <w:t>3</w:t>
      </w:r>
      <w:r w:rsidR="003E025E">
        <w:rPr>
          <w:rStyle w:val="Siln"/>
          <w:sz w:val="22"/>
          <w:szCs w:val="22"/>
        </w:rPr>
        <w:t xml:space="preserve"> </w:t>
      </w:r>
      <w:r w:rsidR="00DB45C1" w:rsidRPr="00A43314">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uvedené jednotky</w:t>
      </w:r>
      <w:r w:rsidR="009F3D93">
        <w:rPr>
          <w:rStyle w:val="Siln"/>
          <w:sz w:val="22"/>
          <w:szCs w:val="22"/>
        </w:rPr>
        <w:t xml:space="preserve"> </w:t>
      </w:r>
      <w:r w:rsidRPr="009F3D93">
        <w:rPr>
          <w:rStyle w:val="Siln"/>
          <w:sz w:val="22"/>
          <w:szCs w:val="22"/>
        </w:rPr>
        <w:t>je obec hlavní město Praha</w:t>
      </w:r>
      <w:r w:rsidR="005E43B0" w:rsidRPr="009F3D93">
        <w:rPr>
          <w:rStyle w:val="Siln"/>
          <w:sz w:val="22"/>
          <w:szCs w:val="22"/>
        </w:rPr>
        <w:t>, výkon práv a povinností vlastníka objektu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48191E97" w14:textId="6A69202A" w:rsidR="00E2467E" w:rsidRPr="00C52AD4"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453330C2" w14:textId="77777777" w:rsidR="008A31D9" w:rsidRDefault="008A31D9">
      <w:pPr>
        <w:rPr>
          <w:b/>
          <w:bCs/>
          <w:sz w:val="22"/>
          <w:szCs w:val="22"/>
        </w:rPr>
      </w:pPr>
      <w:r>
        <w:rPr>
          <w:sz w:val="22"/>
          <w:szCs w:val="22"/>
        </w:rPr>
        <w:br w:type="page"/>
      </w:r>
    </w:p>
    <w:p w14:paraId="57E25126"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2050145F" w14:textId="77777777" w:rsidR="00E2467E" w:rsidRPr="006B55E3" w:rsidRDefault="00E2467E" w:rsidP="00E2467E">
      <w:pPr>
        <w:jc w:val="both"/>
        <w:outlineLvl w:val="0"/>
        <w:rPr>
          <w:b/>
          <w:sz w:val="22"/>
          <w:szCs w:val="22"/>
          <w:u w:val="single"/>
        </w:rPr>
      </w:pPr>
    </w:p>
    <w:p w14:paraId="3B2A33C3"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5D10A2F8" w14:textId="3AB1CE6E"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005013F1">
        <w:rPr>
          <w:rStyle w:val="Zdraznn"/>
          <w:sz w:val="22"/>
          <w:szCs w:val="22"/>
        </w:rPr>
        <w:t xml:space="preserve">a převezme staveniště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této smlouvy</w:t>
      </w:r>
      <w:r w:rsidR="005013F1">
        <w:rPr>
          <w:rStyle w:val="Zdraznn"/>
          <w:sz w:val="22"/>
          <w:szCs w:val="22"/>
        </w:rPr>
        <w:t>,</w:t>
      </w:r>
      <w:r w:rsidR="00135BB2">
        <w:rPr>
          <w:rStyle w:val="Zdraznn"/>
          <w:sz w:val="22"/>
          <w:szCs w:val="22"/>
        </w:rPr>
        <w:t xml:space="preserve"> </w:t>
      </w:r>
      <w:r w:rsidR="005013F1">
        <w:rPr>
          <w:rStyle w:val="Zdraznn"/>
          <w:sz w:val="22"/>
          <w:szCs w:val="22"/>
        </w:rPr>
        <w:t>pokud ale ke dni účinnosti této smlouvy nebude Pravomocné povolení záměru k dispozici</w:t>
      </w:r>
      <w:r w:rsidR="005013F1" w:rsidRPr="0064659A">
        <w:rPr>
          <w:rStyle w:val="Zdraznn"/>
          <w:sz w:val="22"/>
          <w:szCs w:val="22"/>
        </w:rPr>
        <w:t xml:space="preserve">, </w:t>
      </w:r>
      <w:r w:rsidR="005013F1">
        <w:rPr>
          <w:rStyle w:val="Zdraznn"/>
          <w:sz w:val="22"/>
          <w:szCs w:val="22"/>
        </w:rPr>
        <w:t>zahájí zhotovitel provádění plnění díla</w:t>
      </w:r>
      <w:r w:rsidR="00135BB2">
        <w:rPr>
          <w:rStyle w:val="Zdraznn"/>
          <w:sz w:val="22"/>
          <w:szCs w:val="22"/>
        </w:rPr>
        <w:t xml:space="preserve"> </w:t>
      </w:r>
      <w:r w:rsidR="005013F1">
        <w:rPr>
          <w:rStyle w:val="Zdraznn"/>
          <w:sz w:val="22"/>
          <w:szCs w:val="22"/>
        </w:rPr>
        <w:t xml:space="preserve">a převezme staveniště </w:t>
      </w:r>
      <w:r w:rsidR="00135BB2">
        <w:rPr>
          <w:rStyle w:val="Zdraznn"/>
          <w:sz w:val="22"/>
          <w:szCs w:val="22"/>
        </w:rPr>
        <w:t xml:space="preserve">do 10 pracovních dnů ode dne doručení Pravomocného povolení záměru </w:t>
      </w:r>
      <w:r w:rsidR="005013F1">
        <w:rPr>
          <w:rStyle w:val="Zdraznn"/>
          <w:sz w:val="22"/>
          <w:szCs w:val="22"/>
        </w:rPr>
        <w:t xml:space="preserve">zhotoviteli ze strany objednatele, </w:t>
      </w:r>
      <w:r w:rsidR="00D105D4">
        <w:rPr>
          <w:rStyle w:val="Zdraznn"/>
          <w:sz w:val="22"/>
          <w:szCs w:val="22"/>
        </w:rPr>
        <w:t xml:space="preserve">to vše </w:t>
      </w:r>
      <w:r w:rsidR="005013F1">
        <w:rPr>
          <w:rStyle w:val="Zdraznn"/>
          <w:sz w:val="22"/>
          <w:szCs w:val="22"/>
        </w:rPr>
        <w:t xml:space="preserve">za předpokladu, že </w:t>
      </w:r>
      <w:r w:rsidRPr="0064659A">
        <w:rPr>
          <w:rStyle w:val="Zdraznn"/>
          <w:sz w:val="22"/>
          <w:szCs w:val="22"/>
        </w:rPr>
        <w:t xml:space="preserve">se </w:t>
      </w:r>
      <w:r w:rsidR="005013F1">
        <w:rPr>
          <w:rStyle w:val="Zdraznn"/>
          <w:sz w:val="22"/>
          <w:szCs w:val="22"/>
        </w:rPr>
        <w:t>smluvní strany</w:t>
      </w:r>
      <w:r w:rsidRPr="003C02CC">
        <w:rPr>
          <w:rStyle w:val="Zdraznn"/>
          <w:sz w:val="22"/>
          <w:szCs w:val="22"/>
        </w:rPr>
        <w:t> </w:t>
      </w:r>
      <w:r w:rsidR="005013F1">
        <w:rPr>
          <w:rStyle w:val="Zdraznn"/>
          <w:sz w:val="22"/>
          <w:szCs w:val="22"/>
        </w:rPr>
        <w:t>nedohodnou</w:t>
      </w:r>
      <w:r w:rsidRPr="003C02CC">
        <w:rPr>
          <w:rStyle w:val="Zdraznn"/>
          <w:sz w:val="22"/>
          <w:szCs w:val="22"/>
        </w:rPr>
        <w:t xml:space="preserve"> jinak;</w:t>
      </w:r>
    </w:p>
    <w:p w14:paraId="6248E9D8" w14:textId="52491612"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A66798">
        <w:rPr>
          <w:rStyle w:val="Siln"/>
          <w:rFonts w:eastAsia="Calibri"/>
          <w:sz w:val="22"/>
          <w:szCs w:val="22"/>
        </w:rPr>
        <w:t>75</w:t>
      </w:r>
      <w:r w:rsidRPr="003C02CC">
        <w:rPr>
          <w:rStyle w:val="Siln"/>
          <w:rFonts w:eastAsia="Calibri"/>
          <w:sz w:val="22"/>
          <w:szCs w:val="22"/>
        </w:rPr>
        <w:t xml:space="preserve"> dnů</w:t>
      </w:r>
      <w:r w:rsidR="00AD11F4">
        <w:rPr>
          <w:rStyle w:val="Siln"/>
          <w:rFonts w:eastAsia="Calibri"/>
          <w:sz w:val="22"/>
          <w:szCs w:val="22"/>
        </w:rPr>
        <w:t xml:space="preserve"> ode dne předání staveniště</w:t>
      </w:r>
      <w:r w:rsidR="00FA7797">
        <w:rPr>
          <w:rStyle w:val="Siln"/>
          <w:rFonts w:eastAsia="Calibri"/>
          <w:sz w:val="22"/>
          <w:szCs w:val="22"/>
        </w:rPr>
        <w:t>;</w:t>
      </w:r>
    </w:p>
    <w:p w14:paraId="223FF6EF"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0AF10525"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5B5F1982"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6A626B7D"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5CC27D64"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2C513D25"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43A389C9"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zaznamenány ve stavebním deníku.</w:t>
      </w:r>
    </w:p>
    <w:p w14:paraId="73E9B996" w14:textId="77777777" w:rsidR="00953A5D" w:rsidRPr="006B55E3" w:rsidRDefault="00953A5D" w:rsidP="002E3E39">
      <w:pPr>
        <w:jc w:val="center"/>
        <w:rPr>
          <w:b/>
          <w:bCs/>
          <w:sz w:val="22"/>
          <w:szCs w:val="22"/>
        </w:rPr>
      </w:pPr>
    </w:p>
    <w:p w14:paraId="688199F7"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4EFC76EA" w14:textId="77777777" w:rsidR="00E2467E" w:rsidRPr="006B55E3" w:rsidRDefault="00E2467E" w:rsidP="004A7A55">
      <w:pPr>
        <w:pStyle w:val="Zkladntextodsazen31"/>
        <w:ind w:left="0" w:firstLine="0"/>
        <w:rPr>
          <w:sz w:val="22"/>
          <w:szCs w:val="22"/>
        </w:rPr>
      </w:pPr>
    </w:p>
    <w:p w14:paraId="466AD536"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0B82492B"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203DB437"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Za ekologické škody vzniklé prováděním díla odpovídá zhotovitel. Objednatel má právo jednostranně zastavit práce zhotovitele, které jsou v rozporu s předpisy na ochranu životního </w:t>
      </w:r>
      <w:r w:rsidRPr="006B55E3">
        <w:rPr>
          <w:rStyle w:val="Siln"/>
          <w:sz w:val="22"/>
          <w:szCs w:val="22"/>
        </w:rPr>
        <w:lastRenderedPageBreak/>
        <w:t>prostředí. Zhotovitel může pokračovat u takto zastavených prací pouze po odstranění závad poškozujících životní prostředí. Objednatelův nárok na úhradu škody v tomto případě nezaniká odstraněním ekologické závady.</w:t>
      </w:r>
    </w:p>
    <w:p w14:paraId="7A37614B"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o rizicích, která vzniknou z vykonávané činnosti pro zaměstnance objednatele a ostatní osoby  </w:t>
      </w:r>
      <w:r w:rsidR="003A010B" w:rsidRPr="006B55E3">
        <w:rPr>
          <w:rStyle w:val="Siln"/>
          <w:sz w:val="22"/>
          <w:szCs w:val="22"/>
        </w:rPr>
        <w:t>na staveništi</w:t>
      </w:r>
      <w:r w:rsidRPr="006B55E3">
        <w:rPr>
          <w:rStyle w:val="Siln"/>
          <w:sz w:val="22"/>
          <w:szCs w:val="22"/>
        </w:rPr>
        <w:t xml:space="preserve"> a jaká opatření učiní k ochraně před jejich působením.</w:t>
      </w:r>
    </w:p>
    <w:p w14:paraId="399C66BE"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401E6176"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688DCEEC" w14:textId="588E3279"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854995">
        <w:rPr>
          <w:rStyle w:val="Zdraznn"/>
          <w:sz w:val="22"/>
          <w:szCs w:val="22"/>
        </w:rPr>
        <w:t>;</w:t>
      </w:r>
      <w:r w:rsidRPr="003F2CF5">
        <w:rPr>
          <w:rStyle w:val="Zdraznn"/>
          <w:sz w:val="22"/>
          <w:szCs w:val="22"/>
        </w:rPr>
        <w:t xml:space="preserve"> </w:t>
      </w:r>
      <w:r w:rsidR="00854995">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3F2CF5" w:rsidRPr="003F2CF5">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23481285"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1EFB498B"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29410914"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3F0604DB"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64F50F1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284FB9EC"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159C55CC" w14:textId="04555175"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854995">
        <w:rPr>
          <w:sz w:val="22"/>
          <w:szCs w:val="22"/>
        </w:rPr>
        <w:t>;</w:t>
      </w:r>
      <w:r w:rsidRPr="00B80B13">
        <w:rPr>
          <w:sz w:val="22"/>
          <w:szCs w:val="22"/>
        </w:rPr>
        <w:t xml:space="preserve"> </w:t>
      </w:r>
      <w:r w:rsidR="00854995">
        <w:rPr>
          <w:sz w:val="22"/>
          <w:szCs w:val="22"/>
        </w:rPr>
        <w:t>t</w:t>
      </w:r>
      <w:r w:rsidRPr="00B80B13">
        <w:rPr>
          <w:sz w:val="22"/>
          <w:szCs w:val="22"/>
        </w:rPr>
        <w:t>oto ujednání se týká nejen pracovníků zhotovitele, ale i poddodavatelů</w:t>
      </w:r>
      <w:r w:rsidR="00854995">
        <w:rPr>
          <w:sz w:val="22"/>
          <w:szCs w:val="22"/>
        </w:rPr>
        <w:t>;</w:t>
      </w:r>
      <w:r w:rsidRPr="00B80B13">
        <w:rPr>
          <w:sz w:val="22"/>
          <w:szCs w:val="22"/>
        </w:rPr>
        <w:t xml:space="preserve"> </w:t>
      </w:r>
      <w:r w:rsidR="00854995">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854995">
        <w:rPr>
          <w:sz w:val="22"/>
          <w:szCs w:val="22"/>
        </w:rPr>
        <w:t>;</w:t>
      </w:r>
      <w:r w:rsidRPr="00B80B13">
        <w:rPr>
          <w:sz w:val="22"/>
          <w:szCs w:val="22"/>
        </w:rPr>
        <w:t xml:space="preserve"> </w:t>
      </w:r>
      <w:r w:rsidR="00854995">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29943C64"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36DD948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6D97F4D4"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pracovníci zhotovitele se budou pohybovat pouze ve vymezených prostorech a budou označeni logem firmy; </w:t>
      </w:r>
    </w:p>
    <w:p w14:paraId="7998578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6462F99C"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440EC397"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0572639B" w14:textId="77777777" w:rsidR="005169CD" w:rsidRPr="006B55E3" w:rsidRDefault="005169CD" w:rsidP="00281F59">
      <w:pPr>
        <w:ind w:left="697"/>
        <w:contextualSpacing/>
        <w:jc w:val="both"/>
        <w:rPr>
          <w:rStyle w:val="Zdraznn"/>
          <w:sz w:val="22"/>
          <w:szCs w:val="22"/>
        </w:rPr>
      </w:pPr>
    </w:p>
    <w:p w14:paraId="1063EC6E"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6471F780" w14:textId="11DA6729"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C80943">
        <w:rPr>
          <w:rStyle w:val="Zdraznn"/>
          <w:sz w:val="22"/>
          <w:szCs w:val="22"/>
        </w:rPr>
        <w:t xml:space="preserve">samostatným zápisem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w:t>
      </w:r>
      <w:r w:rsidR="00C80943">
        <w:rPr>
          <w:rStyle w:val="Zdraznn"/>
          <w:sz w:val="22"/>
          <w:szCs w:val="22"/>
        </w:rPr>
        <w:t xml:space="preserve">nebo do 10 dnů ode dne předání Pravomocného povolení záměru zhotoviteli (pokud ke dni účinnosti této smlouvy nebude Pravomocné povolení záměru k dispozici), </w:t>
      </w:r>
    </w:p>
    <w:p w14:paraId="0330C48B"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00F0B036" w14:textId="02B45535"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r w:rsidR="00321B7D">
        <w:rPr>
          <w:rStyle w:val="Siln"/>
          <w:sz w:val="22"/>
          <w:szCs w:val="22"/>
        </w:rPr>
        <w:t>,</w:t>
      </w:r>
    </w:p>
    <w:p w14:paraId="2CA4C570" w14:textId="77777777"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07DC0">
        <w:rPr>
          <w:rStyle w:val="Siln"/>
          <w:sz w:val="22"/>
          <w:szCs w:val="22"/>
        </w:rPr>
        <w:t>.</w:t>
      </w:r>
    </w:p>
    <w:p w14:paraId="48371E8A"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059B7E6C"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394DAEC8" w14:textId="5B358667"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7436F550"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7B6DE2EA"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41A717BB" w14:textId="4FB16249"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w:t>
      </w:r>
      <w:r w:rsidR="00321B7D">
        <w:rPr>
          <w:rFonts w:ascii="Times New Roman" w:hAnsi="Times New Roman"/>
          <w:b w:val="0"/>
          <w:sz w:val="22"/>
          <w:szCs w:val="22"/>
        </w:rPr>
        <w:t>ch</w:t>
      </w:r>
      <w:r w:rsidRPr="00B11870">
        <w:rPr>
          <w:rFonts w:ascii="Times New Roman" w:hAnsi="Times New Roman"/>
          <w:b w:val="0"/>
          <w:sz w:val="22"/>
          <w:szCs w:val="22"/>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424629FD"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18C5AC93"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727A38D3"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55E2E40C"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nízkoemisních automobilů, má-li je k dispozici; </w:t>
      </w:r>
    </w:p>
    <w:p w14:paraId="7C5381B0"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AA33B45"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53258322"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61248A9D"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51E68C04" w14:textId="77777777" w:rsidR="002E3E39" w:rsidRPr="005275B5" w:rsidRDefault="002E3E39" w:rsidP="002E3E39">
      <w:pPr>
        <w:pStyle w:val="Odstavecseseznamem"/>
        <w:tabs>
          <w:tab w:val="num" w:pos="1074"/>
        </w:tabs>
        <w:ind w:left="1428"/>
        <w:contextualSpacing/>
        <w:jc w:val="center"/>
        <w:rPr>
          <w:b/>
          <w:sz w:val="22"/>
          <w:szCs w:val="22"/>
          <w:u w:val="single"/>
        </w:rPr>
      </w:pPr>
    </w:p>
    <w:p w14:paraId="14964D46"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651F2568" w14:textId="77777777" w:rsidR="00757738" w:rsidRPr="006B55E3" w:rsidRDefault="00757738" w:rsidP="00757738">
      <w:pPr>
        <w:pStyle w:val="Nzev"/>
        <w:rPr>
          <w:sz w:val="22"/>
          <w:szCs w:val="22"/>
          <w:u w:val="none"/>
        </w:rPr>
      </w:pPr>
    </w:p>
    <w:p w14:paraId="76EB02B6" w14:textId="5537070A"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 xml:space="preserve">Celková cena za řádně provedené a předané dílo dle článku 3. </w:t>
      </w:r>
      <w:r w:rsidR="00321B7D">
        <w:rPr>
          <w:rStyle w:val="Siln"/>
          <w:color w:val="000000"/>
          <w:sz w:val="22"/>
          <w:szCs w:val="22"/>
        </w:rPr>
        <w:t xml:space="preserve">této smlouvy </w:t>
      </w:r>
      <w:r w:rsidRPr="006B55E3">
        <w:rPr>
          <w:rStyle w:val="Siln"/>
          <w:color w:val="000000"/>
          <w:sz w:val="22"/>
          <w:szCs w:val="22"/>
        </w:rPr>
        <w:t xml:space="preserve">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271C8D">
        <w:rPr>
          <w:sz w:val="22"/>
          <w:szCs w:val="22"/>
          <w:highlight w:val="yellow"/>
        </w:rPr>
        <w:t xml:space="preserve">[DOPLNÍ ÚČASTNÍK] </w:t>
      </w:r>
      <w:r w:rsidRPr="004F79C3">
        <w:rPr>
          <w:bCs/>
          <w:color w:val="000000" w:themeColor="text1"/>
          <w:sz w:val="22"/>
          <w:szCs w:val="22"/>
          <w:highlight w:val="yellow"/>
        </w:rPr>
        <w:t>Kč (slovy: </w:t>
      </w:r>
      <w:r w:rsidR="00271C8D">
        <w:rPr>
          <w:sz w:val="22"/>
          <w:szCs w:val="22"/>
          <w:highlight w:val="yellow"/>
        </w:rPr>
        <w:t xml:space="preserve">[DOPLNÍ ÚČASTNÍK] </w:t>
      </w:r>
      <w:r w:rsidR="00780731" w:rsidRPr="004F79C3">
        <w:rPr>
          <w:sz w:val="22"/>
          <w:szCs w:val="22"/>
          <w:highlight w:val="yellow"/>
        </w:rPr>
        <w:t>korun</w:t>
      </w:r>
      <w:r w:rsidRPr="00D907D1">
        <w:rPr>
          <w:bCs/>
          <w:color w:val="000000" w:themeColor="text1"/>
          <w:sz w:val="22"/>
          <w:szCs w:val="22"/>
        </w:rPr>
        <w:t>)</w:t>
      </w:r>
      <w:r w:rsidR="00857495" w:rsidRPr="00D907D1">
        <w:rPr>
          <w:bCs/>
          <w:color w:val="000000" w:themeColor="text1"/>
          <w:sz w:val="22"/>
          <w:szCs w:val="22"/>
        </w:rPr>
        <w:t xml:space="preserve"> (</w:t>
      </w:r>
      <w:r w:rsidRPr="00D907D1">
        <w:rPr>
          <w:bCs/>
          <w:color w:val="000000" w:themeColor="text1"/>
          <w:sz w:val="22"/>
          <w:szCs w:val="22"/>
        </w:rPr>
        <w:t>opravy</w:t>
      </w:r>
      <w:r w:rsidR="00A66798">
        <w:rPr>
          <w:bCs/>
          <w:color w:val="000000" w:themeColor="text1"/>
          <w:sz w:val="22"/>
          <w:szCs w:val="22"/>
        </w:rPr>
        <w:t xml:space="preserve"> </w:t>
      </w:r>
      <w:r w:rsidR="00271C8D">
        <w:rPr>
          <w:sz w:val="22"/>
          <w:szCs w:val="22"/>
          <w:highlight w:val="yellow"/>
        </w:rPr>
        <w:t xml:space="preserve">[DOPLNÍ ÚČASTNÍK] </w:t>
      </w:r>
      <w:r w:rsidR="00A66798">
        <w:rPr>
          <w:bCs/>
          <w:color w:val="000000" w:themeColor="text1"/>
          <w:sz w:val="22"/>
          <w:szCs w:val="22"/>
        </w:rPr>
        <w:t>Kč</w:t>
      </w:r>
      <w:r w:rsidR="004F79C3">
        <w:rPr>
          <w:bCs/>
          <w:color w:val="000000" w:themeColor="text1"/>
          <w:sz w:val="22"/>
          <w:szCs w:val="22"/>
        </w:rPr>
        <w:t xml:space="preserve"> a investice</w:t>
      </w:r>
      <w:r w:rsidR="00A66798">
        <w:rPr>
          <w:bCs/>
          <w:color w:val="000000" w:themeColor="text1"/>
          <w:sz w:val="22"/>
          <w:szCs w:val="22"/>
        </w:rPr>
        <w:t xml:space="preserve"> </w:t>
      </w:r>
      <w:r w:rsidR="00271C8D">
        <w:rPr>
          <w:sz w:val="22"/>
          <w:szCs w:val="22"/>
          <w:highlight w:val="yellow"/>
        </w:rPr>
        <w:t xml:space="preserve">[DOPLNÍ ÚČASTNÍK] </w:t>
      </w:r>
      <w:r w:rsidR="00A66798">
        <w:rPr>
          <w:bCs/>
          <w:color w:val="000000" w:themeColor="text1"/>
          <w:sz w:val="22"/>
          <w:szCs w:val="22"/>
        </w:rPr>
        <w:t>Kč</w:t>
      </w:r>
      <w:r w:rsidR="00857495" w:rsidRPr="00D907D1">
        <w:rPr>
          <w:bCs/>
          <w:color w:val="000000" w:themeColor="text1"/>
          <w:sz w:val="22"/>
          <w:szCs w:val="22"/>
        </w:rPr>
        <w:t>).</w:t>
      </w:r>
    </w:p>
    <w:p w14:paraId="30D3EA97" w14:textId="0ECBDB7A"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271C8D">
        <w:rPr>
          <w:sz w:val="22"/>
          <w:szCs w:val="22"/>
          <w:highlight w:val="yellow"/>
        </w:rPr>
        <w:t xml:space="preserve">[DOPLNÍ ÚČASTNÍK] </w:t>
      </w:r>
      <w:r w:rsidRPr="004F79C3">
        <w:rPr>
          <w:rStyle w:val="Siln"/>
          <w:color w:val="000000"/>
          <w:sz w:val="22"/>
          <w:szCs w:val="22"/>
          <w:highlight w:val="yellow"/>
        </w:rPr>
        <w:t>a</w:t>
      </w:r>
      <w:r w:rsidRPr="006B55E3">
        <w:rPr>
          <w:rStyle w:val="Siln"/>
          <w:color w:val="000000"/>
          <w:sz w:val="22"/>
          <w:szCs w:val="22"/>
        </w:rPr>
        <w:t xml:space="preserve">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4CDB810A" w14:textId="77777777"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 v platném znění. </w:t>
      </w:r>
    </w:p>
    <w:p w14:paraId="1BF242D6"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37FADC4A"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2DE1E6D7"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4E61856B"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0E48465F"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05C05E97"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3FF9838C"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623870A4"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lastRenderedPageBreak/>
        <w:tab/>
      </w:r>
      <w:r w:rsidR="00757738" w:rsidRPr="000C015C">
        <w:rPr>
          <w:bCs/>
          <w:color w:val="000000"/>
          <w:sz w:val="22"/>
          <w:szCs w:val="22"/>
        </w:rPr>
        <w:t>Faktura musí být doložena zjišťovacím protokolem a soupisem provedených prací na základě konstrukce nabídkové ceny, které musí být přílohou příslušné faktury. Soupis prací musí být odsouhlasen technickým dozorem investora, resp. objednatele, a musí obsahovat zejména tyto údaje:</w:t>
      </w:r>
    </w:p>
    <w:p w14:paraId="2A463B2A"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63589033"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57A0DB7A"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5110C730"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0BB65D8C"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6E2F86EB"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3057D504"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3493C6CE" w14:textId="0CF53A61"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Do výše uvedené ceny za dílo jsou zakalkulovány veškeré související náklady, to znamená kromě montážních a demontážních prací a vypracování dokumentace a dokumentace</w:t>
      </w:r>
      <w:r w:rsidR="00D105D4">
        <w:rPr>
          <w:rStyle w:val="Siln"/>
          <w:color w:val="000000"/>
          <w:sz w:val="22"/>
          <w:szCs w:val="22"/>
        </w:rPr>
        <w:t xml:space="preserve"> </w:t>
      </w:r>
      <w:r w:rsidRPr="00B11870">
        <w:rPr>
          <w:rStyle w:val="Siln"/>
          <w:color w:val="000000"/>
          <w:sz w:val="22"/>
          <w:szCs w:val="22"/>
        </w:rPr>
        <w:t>s</w:t>
      </w:r>
      <w:r w:rsidR="00321B7D">
        <w:rPr>
          <w:rStyle w:val="Siln"/>
          <w:color w:val="000000"/>
          <w:sz w:val="22"/>
          <w:szCs w:val="22"/>
        </w:rPr>
        <w:t>távajícího</w:t>
      </w:r>
      <w:r w:rsidRPr="00B11870">
        <w:rPr>
          <w:rStyle w:val="Siln"/>
          <w:color w:val="000000"/>
          <w:sz w:val="22"/>
          <w:szCs w:val="22"/>
        </w:rPr>
        <w:t xml:space="preserve"> provedení </w:t>
      </w:r>
      <w:r w:rsidR="00C511BE" w:rsidRPr="00B11870">
        <w:rPr>
          <w:rStyle w:val="Siln"/>
          <w:color w:val="000000"/>
          <w:sz w:val="22"/>
          <w:szCs w:val="22"/>
        </w:rPr>
        <w:t xml:space="preserve">díla </w:t>
      </w:r>
      <w:r w:rsidR="00321B7D">
        <w:rPr>
          <w:rStyle w:val="Siln"/>
          <w:color w:val="000000"/>
          <w:sz w:val="22"/>
          <w:szCs w:val="22"/>
        </w:rPr>
        <w:t xml:space="preserve">(pasport) </w:t>
      </w:r>
      <w:r w:rsidRPr="00B11870">
        <w:rPr>
          <w:rStyle w:val="Siln"/>
          <w:color w:val="000000"/>
          <w:sz w:val="22"/>
          <w:szCs w:val="22"/>
        </w:rPr>
        <w:t>také zejména, ale nikoliv pouze, náklady a poplatky na zajištění kompletní dodávky:</w:t>
      </w:r>
    </w:p>
    <w:p w14:paraId="243EAA33"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13142672"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07139492"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15375E83"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08318748"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6F1F97C4" w14:textId="77777777" w:rsidR="00953A5D" w:rsidRDefault="00953A5D" w:rsidP="00757738">
      <w:pPr>
        <w:pStyle w:val="Nzev"/>
        <w:rPr>
          <w:sz w:val="22"/>
          <w:szCs w:val="22"/>
          <w:u w:val="none"/>
        </w:rPr>
      </w:pPr>
    </w:p>
    <w:p w14:paraId="2A0E2667" w14:textId="77777777" w:rsidR="00F3455B" w:rsidRPr="006B55E3" w:rsidRDefault="00F3455B" w:rsidP="00757738">
      <w:pPr>
        <w:pStyle w:val="Nzev"/>
        <w:rPr>
          <w:sz w:val="22"/>
          <w:szCs w:val="22"/>
          <w:u w:val="none"/>
        </w:rPr>
      </w:pPr>
    </w:p>
    <w:p w14:paraId="7BE3FBFB"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7446BFB8" w14:textId="77777777" w:rsidR="00E2467E" w:rsidRPr="006B55E3" w:rsidRDefault="00E2467E" w:rsidP="00E2467E">
      <w:pPr>
        <w:jc w:val="both"/>
        <w:outlineLvl w:val="0"/>
        <w:rPr>
          <w:b/>
          <w:sz w:val="22"/>
          <w:szCs w:val="22"/>
          <w:u w:val="single"/>
        </w:rPr>
      </w:pPr>
    </w:p>
    <w:p w14:paraId="5935F9A4"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06B6F5E7" w14:textId="19ABA27E"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Smluvní pokuta za nedodržení termínu vyklizení staveniště uvedeného v čl. 5. odst. 5.1. bod 5.1.3</w:t>
      </w:r>
      <w:r w:rsidR="00321B7D">
        <w:rPr>
          <w:rStyle w:val="Siln"/>
          <w:rFonts w:eastAsia="Calibri"/>
          <w:sz w:val="22"/>
          <w:szCs w:val="22"/>
        </w:rPr>
        <w:t>. této smlouvy</w:t>
      </w:r>
      <w:r w:rsidRPr="0014064F">
        <w:rPr>
          <w:rStyle w:val="Siln"/>
          <w:rFonts w:eastAsia="Calibri"/>
          <w:sz w:val="22"/>
          <w:szCs w:val="22"/>
        </w:rPr>
        <w:t xml:space="preserve"> je 15.000,-</w:t>
      </w:r>
      <w:r w:rsidR="00321B7D">
        <w:rPr>
          <w:rStyle w:val="Siln"/>
          <w:rFonts w:eastAsia="Calibri"/>
          <w:sz w:val="22"/>
          <w:szCs w:val="22"/>
        </w:rPr>
        <w:t xml:space="preserve"> </w:t>
      </w:r>
      <w:r w:rsidRPr="0014064F">
        <w:rPr>
          <w:rStyle w:val="Siln"/>
          <w:rFonts w:eastAsia="Calibri"/>
          <w:sz w:val="22"/>
          <w:szCs w:val="22"/>
        </w:rPr>
        <w:t>Kč (slovy patnáct tisíc korun českých) za každý započatý kalendářní den prodlení.</w:t>
      </w:r>
    </w:p>
    <w:p w14:paraId="340452EB"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24EDDD76" w14:textId="36CD481F"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5455B469"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76F6F0FD" w14:textId="20482B68"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 odstra</w:t>
      </w:r>
      <w:r w:rsidR="00321B7D">
        <w:rPr>
          <w:rStyle w:val="Siln"/>
          <w:rFonts w:ascii="Times New Roman" w:hAnsi="Times New Roman"/>
          <w:b w:val="0"/>
          <w:sz w:val="22"/>
          <w:szCs w:val="22"/>
        </w:rPr>
        <w:t>něním</w:t>
      </w:r>
      <w:r w:rsidRPr="006B55E3">
        <w:rPr>
          <w:rStyle w:val="Siln"/>
          <w:rFonts w:ascii="Times New Roman" w:hAnsi="Times New Roman"/>
          <w:b w:val="0"/>
          <w:sz w:val="22"/>
          <w:szCs w:val="22"/>
        </w:rPr>
        <w:t xml:space="preserve"> reklamované vady</w:t>
      </w:r>
      <w:r w:rsidR="00321B7D">
        <w:rPr>
          <w:rStyle w:val="Siln"/>
          <w:rFonts w:ascii="Times New Roman" w:hAnsi="Times New Roman"/>
          <w:b w:val="0"/>
          <w:sz w:val="22"/>
          <w:szCs w:val="22"/>
        </w:rPr>
        <w:t xml:space="preserve"> díla podle článku 9. odst. 9.11. 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7A8819BC"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w:t>
      </w:r>
      <w:r w:rsidRPr="00005A85">
        <w:rPr>
          <w:rFonts w:ascii="Times New Roman" w:hAnsi="Times New Roman"/>
          <w:b w:val="0"/>
          <w:sz w:val="22"/>
          <w:szCs w:val="22"/>
        </w:rPr>
        <w:lastRenderedPageBreak/>
        <w:t xml:space="preserve">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52503D01"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6B412501" w14:textId="19DF6FED"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321B7D">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sb., o hl. m. Praze, ve znění pozdějších předpisů.  </w:t>
      </w:r>
    </w:p>
    <w:p w14:paraId="3D3588CE" w14:textId="77777777" w:rsidR="00676867" w:rsidRDefault="00676867" w:rsidP="00387F22">
      <w:pPr>
        <w:rPr>
          <w:sz w:val="22"/>
          <w:szCs w:val="22"/>
        </w:rPr>
      </w:pPr>
    </w:p>
    <w:p w14:paraId="49CE20F9"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03D3DE02" w14:textId="77777777" w:rsidR="00E2467E" w:rsidRPr="006B55E3" w:rsidRDefault="00E2467E" w:rsidP="00E2467E">
      <w:pPr>
        <w:tabs>
          <w:tab w:val="left" w:pos="709"/>
          <w:tab w:val="left" w:pos="1418"/>
        </w:tabs>
        <w:ind w:left="1418" w:hanging="1418"/>
        <w:jc w:val="both"/>
        <w:rPr>
          <w:sz w:val="22"/>
          <w:szCs w:val="22"/>
        </w:rPr>
      </w:pPr>
    </w:p>
    <w:p w14:paraId="71F89544"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688347CA"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0F65F46A"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555E4CCA"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1DB4C9C3"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objektu,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kterém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3BACF24A"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74D7E06A"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18C9330E"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79B84CF7"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2E6D985E"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3D7B12B5"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35898B50"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78B24291"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69B0B1F4"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3AA7D274"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53418CC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14C35417"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247DB200"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052273F5"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15C73C33"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lastRenderedPageBreak/>
        <w:t>soupis případných vad a nedodělků, s kterými je objednatel ochoten dílo převzít a které nebrání provozování a užívání díla.</w:t>
      </w:r>
    </w:p>
    <w:p w14:paraId="175D1ADD" w14:textId="77777777" w:rsidR="001649FD" w:rsidRDefault="00E2467E" w:rsidP="00396091">
      <w:pPr>
        <w:pStyle w:val="Podnadpis"/>
        <w:numPr>
          <w:ilvl w:val="1"/>
          <w:numId w:val="28"/>
        </w:numPr>
        <w:spacing w:after="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Součástí závazku dle článku 3. této smlouvy je dále zkompletované předání: </w:t>
      </w:r>
    </w:p>
    <w:p w14:paraId="27203F5E" w14:textId="659017B7" w:rsidR="00321B7D" w:rsidRDefault="00321B7D" w:rsidP="00321B7D">
      <w:pPr>
        <w:pStyle w:val="Seznam3"/>
        <w:numPr>
          <w:ilvl w:val="2"/>
          <w:numId w:val="58"/>
        </w:numPr>
        <w:overflowPunct w:val="0"/>
        <w:autoSpaceDE w:val="0"/>
        <w:autoSpaceDN w:val="0"/>
        <w:adjustRightInd w:val="0"/>
        <w:spacing w:after="120"/>
        <w:jc w:val="both"/>
        <w:textAlignment w:val="baseline"/>
        <w:rPr>
          <w:sz w:val="22"/>
          <w:szCs w:val="22"/>
        </w:rPr>
      </w:pPr>
      <w:r>
        <w:rPr>
          <w:sz w:val="22"/>
          <w:szCs w:val="22"/>
        </w:rPr>
        <w:t>dokumentace stávajícího provedení díla (pasport) ve 2 vyhotoveních (</w:t>
      </w:r>
      <w:proofErr w:type="spellStart"/>
      <w:r>
        <w:rPr>
          <w:sz w:val="22"/>
          <w:szCs w:val="22"/>
        </w:rPr>
        <w:t>paré</w:t>
      </w:r>
      <w:proofErr w:type="spellEnd"/>
      <w:r>
        <w:rPr>
          <w:sz w:val="22"/>
          <w:szCs w:val="22"/>
        </w:rPr>
        <w:t>) v tištěné formě, která bude mít náležitosti stanovené v příloze č. 11 vyhlášky č. 131/2024 Sb., o dokumentaci staveb; která musí být zhotovitelem potvrzena,</w:t>
      </w:r>
    </w:p>
    <w:p w14:paraId="45BB1800" w14:textId="63EAABE2"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w:t>
      </w:r>
      <w:r w:rsidR="00321B7D">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35947EE2"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1CD47780" w14:textId="4A605C0B"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kopie platných záručních listů s identifikací a podrobný</w:t>
      </w:r>
      <w:r w:rsidR="00321B7D">
        <w:rPr>
          <w:bCs/>
          <w:sz w:val="22"/>
          <w:szCs w:val="22"/>
        </w:rPr>
        <w:t>m</w:t>
      </w:r>
      <w:r>
        <w:rPr>
          <w:bCs/>
          <w:sz w:val="22"/>
          <w:szCs w:val="22"/>
        </w:rPr>
        <w:t xml:space="preserve"> seznam</w:t>
      </w:r>
      <w:r w:rsidR="00321B7D">
        <w:rPr>
          <w:bCs/>
          <w:sz w:val="22"/>
          <w:szCs w:val="22"/>
        </w:rPr>
        <w:t>em</w:t>
      </w:r>
      <w:r>
        <w:rPr>
          <w:bCs/>
          <w:sz w:val="22"/>
          <w:szCs w:val="22"/>
        </w:rPr>
        <w:t xml:space="preserve"> s označením konkrétních jednotlivých typů zařízení a výrobků s uvedením přesného termínu záruční doby od-do,</w:t>
      </w:r>
    </w:p>
    <w:p w14:paraId="1DF92359"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79CDC97F"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66B807DE"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3D12BDDE"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130ACEE9"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43D3C2EE" w14:textId="106AC9A3" w:rsidR="00321B7D" w:rsidRPr="00C52AD4" w:rsidRDefault="00321B7D" w:rsidP="002C4A29">
      <w:pPr>
        <w:pStyle w:val="Podnadpis"/>
        <w:numPr>
          <w:ilvl w:val="1"/>
          <w:numId w:val="28"/>
        </w:numPr>
        <w:spacing w:after="120"/>
        <w:ind w:left="709" w:hanging="709"/>
        <w:contextualSpacing/>
      </w:pPr>
      <w:r w:rsidRPr="00C52AD4">
        <w:rPr>
          <w:rStyle w:val="Siln"/>
          <w:rFonts w:ascii="Times New Roman" w:hAnsi="Times New Roman"/>
          <w:b w:val="0"/>
          <w:sz w:val="22"/>
          <w:szCs w:val="22"/>
        </w:rPr>
        <w:t xml:space="preserve">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2B106A32"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2FC6CD1E"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78B7C047" w14:textId="4A04420D"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2C4A29">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3C584F77"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22ED62D2" w14:textId="787B7233"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část díla za stejných podmínek a po stejnou dobu, jak je uvedeno výše, a to od data předání záruční opravy. V případě reklamace prací objednatelem je reklamační místo u zhotovitele následující: e-mail:</w:t>
      </w:r>
      <w:r w:rsidRPr="00055D33">
        <w:rPr>
          <w:rStyle w:val="Siln"/>
          <w:rFonts w:ascii="Times New Roman" w:hAnsi="Times New Roman"/>
          <w:b w:val="0"/>
          <w:sz w:val="22"/>
          <w:szCs w:val="22"/>
        </w:rPr>
        <w:t xml:space="preserve"> </w:t>
      </w:r>
      <w:r w:rsidR="00055D33" w:rsidRPr="00055D33">
        <w:rPr>
          <w:rFonts w:ascii="Times New Roman" w:hAnsi="Times New Roman"/>
          <w:b w:val="0"/>
          <w:sz w:val="22"/>
          <w:szCs w:val="22"/>
          <w:highlight w:val="yellow"/>
        </w:rPr>
        <w:t>[DOPLNÍ ÚČASTNÍK]</w:t>
      </w:r>
    </w:p>
    <w:p w14:paraId="07F4DCEC" w14:textId="11AA0E4C"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Jestliže zhotovitel neodstraní vady ve lhůtách uvedených v odst. 9.11. tohoto článku, je </w:t>
      </w:r>
      <w:r w:rsidR="00FE51CE" w:rsidRPr="006B55E3">
        <w:rPr>
          <w:rFonts w:ascii="Times New Roman" w:hAnsi="Times New Roman"/>
          <w:b w:val="0"/>
          <w:sz w:val="22"/>
          <w:szCs w:val="22"/>
        </w:rPr>
        <w:t>objednatel oprávněn</w:t>
      </w:r>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w:t>
      </w:r>
      <w:r w:rsidRPr="006B55E3">
        <w:rPr>
          <w:rFonts w:ascii="Times New Roman" w:hAnsi="Times New Roman"/>
          <w:b w:val="0"/>
          <w:sz w:val="22"/>
          <w:szCs w:val="22"/>
        </w:rPr>
        <w:lastRenderedPageBreak/>
        <w:t xml:space="preserve">náklady je zhotovitel povinen uhradit objednateli do 14 dnů ode dne doručení faktury - daňového dokladu. Tímto se zhotovitel nezbavuje odpovědnosti za dílo, jako celek, ani za jeho jednotlivé části. </w:t>
      </w:r>
    </w:p>
    <w:p w14:paraId="57CBF9EA" w14:textId="77777777" w:rsidR="00676867" w:rsidRDefault="00676867" w:rsidP="002E3E39">
      <w:pPr>
        <w:pStyle w:val="Nzev"/>
        <w:rPr>
          <w:rStyle w:val="Siln"/>
          <w:b w:val="0"/>
          <w:bCs w:val="0"/>
          <w:sz w:val="22"/>
          <w:szCs w:val="22"/>
          <w:u w:val="none"/>
        </w:rPr>
      </w:pPr>
    </w:p>
    <w:p w14:paraId="473F57FB" w14:textId="77777777" w:rsidR="008A31D9" w:rsidRDefault="008A31D9">
      <w:pPr>
        <w:rPr>
          <w:rStyle w:val="Siln"/>
          <w:b/>
          <w:sz w:val="22"/>
          <w:szCs w:val="22"/>
        </w:rPr>
      </w:pPr>
    </w:p>
    <w:p w14:paraId="641F0715"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t>Realizační tým</w:t>
      </w:r>
    </w:p>
    <w:p w14:paraId="155F94BC" w14:textId="77777777" w:rsidR="0027734B" w:rsidRPr="00DB677D" w:rsidRDefault="0027734B" w:rsidP="0027734B">
      <w:pPr>
        <w:pStyle w:val="Nzev"/>
        <w:rPr>
          <w:rStyle w:val="Siln"/>
          <w:bCs w:val="0"/>
          <w:sz w:val="22"/>
          <w:szCs w:val="22"/>
          <w:u w:val="none"/>
        </w:rPr>
      </w:pPr>
    </w:p>
    <w:p w14:paraId="0ED9BD8D" w14:textId="3CC373AF"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lenů jsou uvedeny v Příloze č. 5</w:t>
      </w:r>
      <w:r w:rsidRPr="0027734B">
        <w:rPr>
          <w:rStyle w:val="Siln"/>
          <w:b w:val="0"/>
          <w:bCs w:val="0"/>
          <w:sz w:val="22"/>
          <w:szCs w:val="22"/>
          <w:u w:val="none"/>
        </w:rPr>
        <w:t xml:space="preserve"> smlouvy, popř. tým, jehož složení bylo změněno v souladu s tímto článkem (dále jen „Realizační tým“). </w:t>
      </w:r>
    </w:p>
    <w:p w14:paraId="5249881D"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Výměna kteréhokoli ze členů Realizačního týmu je možná pouze v případě, že nový člen Realizačního týmu disponuje minimálně stejnou odbornou způsobilostí, kterou dle Přílohy č. 5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69F79BB8"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 je povinen zaplatit objednateli smluvní pokutu ve výši 10.000 Kč za každý jednotlivý případ.</w:t>
      </w:r>
    </w:p>
    <w:p w14:paraId="5B1DE438"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24C91448" w14:textId="77777777" w:rsidR="002E3E39" w:rsidRDefault="002E3E39" w:rsidP="00DB677D">
      <w:pPr>
        <w:pStyle w:val="Nzev"/>
        <w:outlineLvl w:val="0"/>
        <w:rPr>
          <w:sz w:val="22"/>
          <w:szCs w:val="22"/>
          <w:u w:val="none"/>
        </w:rPr>
      </w:pPr>
    </w:p>
    <w:p w14:paraId="511BE320"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35E51BB7" w14:textId="77777777" w:rsidR="00E2467E" w:rsidRPr="006B55E3" w:rsidRDefault="00E2467E" w:rsidP="004A7A55">
      <w:pPr>
        <w:tabs>
          <w:tab w:val="left" w:pos="709"/>
          <w:tab w:val="left" w:pos="1418"/>
        </w:tabs>
        <w:jc w:val="both"/>
        <w:rPr>
          <w:sz w:val="22"/>
          <w:szCs w:val="22"/>
        </w:rPr>
      </w:pPr>
    </w:p>
    <w:p w14:paraId="31651432" w14:textId="0977ABB7"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A66798">
        <w:rPr>
          <w:rFonts w:ascii="Times New Roman" w:hAnsi="Times New Roman"/>
          <w:b w:val="0"/>
          <w:sz w:val="22"/>
          <w:szCs w:val="22"/>
        </w:rPr>
        <w:t>1</w:t>
      </w:r>
      <w:r w:rsidR="005A6043">
        <w:rPr>
          <w:rFonts w:ascii="Times New Roman" w:hAnsi="Times New Roman"/>
          <w:b w:val="0"/>
          <w:sz w:val="22"/>
          <w:szCs w:val="22"/>
        </w:rPr>
        <w:t>,</w:t>
      </w:r>
      <w:r w:rsidR="00A66798">
        <w:rPr>
          <w:rFonts w:ascii="Times New Roman" w:hAnsi="Times New Roman"/>
          <w:b w:val="0"/>
          <w:sz w:val="22"/>
          <w:szCs w:val="22"/>
        </w:rPr>
        <w:t>5</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0DC49E6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4AFD9FE5"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7EEC0328"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3F42161C"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6556FE52"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55677AEF"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7DE41948"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32AAE60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61477295"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0D03A861"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lastRenderedPageBreak/>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605F5A71"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451D8CA6"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19A98FDA" w14:textId="148DF9E6" w:rsidR="00E2467E" w:rsidRPr="002C4A29" w:rsidRDefault="002C4A29" w:rsidP="008A31D9">
      <w:pPr>
        <w:pStyle w:val="Podnadpis"/>
        <w:numPr>
          <w:ilvl w:val="1"/>
          <w:numId w:val="56"/>
        </w:numPr>
        <w:spacing w:before="120"/>
        <w:ind w:left="709" w:hanging="724"/>
        <w:contextualSpacing/>
        <w:rPr>
          <w:rFonts w:ascii="Times New Roman" w:hAnsi="Times New Roman"/>
          <w:b w:val="0"/>
          <w:sz w:val="22"/>
          <w:szCs w:val="22"/>
        </w:rPr>
      </w:pPr>
      <w:r w:rsidRPr="00C52AD4">
        <w:rPr>
          <w:rFonts w:ascii="Times New Roman" w:hAnsi="Times New Roman"/>
          <w:b w:val="0"/>
          <w:bCs/>
          <w:sz w:val="22"/>
          <w:szCs w:val="22"/>
        </w:rPr>
        <w:t xml:space="preserve">Tato smlouva se uzavírá v elektronické podobě v jednom stejnopise podepsaném kvalifikovanými elektronickými podpisy smluvních </w:t>
      </w:r>
      <w:proofErr w:type="gramStart"/>
      <w:r w:rsidRPr="00C52AD4">
        <w:rPr>
          <w:rFonts w:ascii="Times New Roman" w:hAnsi="Times New Roman"/>
          <w:b w:val="0"/>
          <w:bCs/>
          <w:sz w:val="22"/>
          <w:szCs w:val="22"/>
        </w:rPr>
        <w:t>stran - pokud</w:t>
      </w:r>
      <w:proofErr w:type="gramEnd"/>
      <w:r w:rsidRPr="00C52AD4">
        <w:rPr>
          <w:rFonts w:ascii="Times New Roman" w:hAnsi="Times New Roman"/>
          <w:b w:val="0"/>
          <w:bCs/>
          <w:sz w:val="22"/>
          <w:szCs w:val="22"/>
        </w:rPr>
        <w:t xml:space="preserve"> ale zhotovitel nedisponuje nástroji k uzavření smlouvy v elektronické podobě, bude smlouva uzavřena v listinné podobě, a to ve dvou (2) vyhotoveních s platností originálu, z nichž každá ze smluvních stran obdrží </w:t>
      </w:r>
      <w:bookmarkStart w:id="0" w:name="_GoBack"/>
      <w:r w:rsidRPr="00C52AD4">
        <w:rPr>
          <w:rFonts w:ascii="Times New Roman" w:hAnsi="Times New Roman"/>
          <w:b w:val="0"/>
          <w:bCs/>
          <w:sz w:val="22"/>
          <w:szCs w:val="22"/>
        </w:rPr>
        <w:t>jedno</w:t>
      </w:r>
      <w:bookmarkEnd w:id="0"/>
      <w:r w:rsidRPr="00C52AD4">
        <w:rPr>
          <w:rFonts w:ascii="Times New Roman" w:hAnsi="Times New Roman"/>
          <w:b w:val="0"/>
          <w:bCs/>
          <w:sz w:val="22"/>
          <w:szCs w:val="22"/>
        </w:rPr>
        <w:t>.</w:t>
      </w:r>
    </w:p>
    <w:p w14:paraId="190065FB"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3F55021C" w14:textId="77777777"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předpisů, potvrzuje, že byly splněny podmínky pro platnost právního jednání městské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3B3EC14B" w14:textId="77777777" w:rsidR="00487412" w:rsidRDefault="00487412" w:rsidP="00011B6E">
      <w:pPr>
        <w:ind w:hanging="724"/>
        <w:rPr>
          <w:sz w:val="22"/>
          <w:szCs w:val="22"/>
          <w:lang w:eastAsia="en-US"/>
        </w:rPr>
      </w:pPr>
    </w:p>
    <w:p w14:paraId="718A1AE8" w14:textId="77777777" w:rsidR="00953A5D" w:rsidRDefault="00953A5D" w:rsidP="00E2467E">
      <w:pPr>
        <w:rPr>
          <w:b/>
          <w:sz w:val="22"/>
          <w:szCs w:val="22"/>
        </w:rPr>
      </w:pPr>
    </w:p>
    <w:p w14:paraId="5A372D1E" w14:textId="77777777" w:rsidR="00953A5D" w:rsidRDefault="00E2467E" w:rsidP="005275B5">
      <w:pPr>
        <w:rPr>
          <w:sz w:val="22"/>
          <w:szCs w:val="22"/>
        </w:rPr>
      </w:pPr>
      <w:r w:rsidRPr="006B55E3">
        <w:rPr>
          <w:b/>
          <w:sz w:val="22"/>
          <w:szCs w:val="22"/>
        </w:rPr>
        <w:t>Přílohy:</w:t>
      </w:r>
    </w:p>
    <w:p w14:paraId="11CAB50A" w14:textId="77777777" w:rsidR="005A6043" w:rsidRPr="00D907D1"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288FEBA5" w14:textId="25B897B7" w:rsidR="005A6043" w:rsidRPr="00D907D1" w:rsidRDefault="005A6043" w:rsidP="005A6043">
      <w:pPr>
        <w:pStyle w:val="Seznam"/>
        <w:ind w:left="1410" w:hanging="1410"/>
        <w:rPr>
          <w:sz w:val="22"/>
          <w:szCs w:val="22"/>
        </w:rPr>
      </w:pPr>
      <w:r w:rsidRPr="00D907D1">
        <w:rPr>
          <w:sz w:val="22"/>
          <w:szCs w:val="22"/>
        </w:rPr>
        <w:t>Příloha č. 2:</w:t>
      </w:r>
      <w:r w:rsidRPr="00D907D1">
        <w:rPr>
          <w:sz w:val="22"/>
          <w:szCs w:val="22"/>
        </w:rPr>
        <w:tab/>
      </w:r>
      <w:r w:rsidR="002C4A29">
        <w:rPr>
          <w:sz w:val="22"/>
          <w:szCs w:val="22"/>
        </w:rPr>
        <w:t>Pravomocné povolení záměru (volná příloha)</w:t>
      </w:r>
    </w:p>
    <w:p w14:paraId="344FD675" w14:textId="77777777" w:rsidR="005A6043" w:rsidRPr="00D907D1" w:rsidRDefault="005A6043" w:rsidP="005A6043">
      <w:pPr>
        <w:pStyle w:val="Zkladntextodsazen31"/>
        <w:ind w:left="0" w:firstLine="0"/>
        <w:rPr>
          <w:sz w:val="22"/>
          <w:szCs w:val="22"/>
        </w:rPr>
      </w:pPr>
      <w:r w:rsidRPr="00D907D1">
        <w:rPr>
          <w:sz w:val="22"/>
          <w:szCs w:val="22"/>
        </w:rPr>
        <w:t xml:space="preserve">Příloha č. 3: </w:t>
      </w:r>
      <w:r w:rsidRPr="00D907D1">
        <w:rPr>
          <w:sz w:val="22"/>
          <w:szCs w:val="22"/>
        </w:rPr>
        <w:tab/>
      </w:r>
      <w:r w:rsidR="00857495" w:rsidRPr="00D907D1">
        <w:rPr>
          <w:sz w:val="22"/>
          <w:szCs w:val="22"/>
        </w:rPr>
        <w:t>P</w:t>
      </w:r>
      <w:r w:rsidRPr="00D907D1">
        <w:rPr>
          <w:sz w:val="22"/>
          <w:szCs w:val="22"/>
        </w:rPr>
        <w:t xml:space="preserve">oložkový rozpočet zhotovitele </w:t>
      </w:r>
    </w:p>
    <w:p w14:paraId="75E32536" w14:textId="77777777" w:rsidR="005A6043" w:rsidRPr="00D907D1" w:rsidRDefault="005A6043" w:rsidP="005A6043">
      <w:pPr>
        <w:pStyle w:val="Zkladntextodsazen31"/>
        <w:ind w:left="0" w:firstLine="0"/>
        <w:rPr>
          <w:sz w:val="22"/>
          <w:szCs w:val="22"/>
        </w:rPr>
      </w:pPr>
      <w:r w:rsidRPr="00D907D1">
        <w:rPr>
          <w:sz w:val="22"/>
          <w:szCs w:val="22"/>
        </w:rPr>
        <w:t>Příloha č. 4:</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rojektová dokumentace (volná příloha)</w:t>
      </w:r>
    </w:p>
    <w:p w14:paraId="2617793C" w14:textId="77777777" w:rsidR="00132A39" w:rsidRPr="006B55E3" w:rsidRDefault="00132A39" w:rsidP="005A6043">
      <w:pPr>
        <w:pStyle w:val="Zkladntextodsazen31"/>
        <w:ind w:left="0" w:firstLine="0"/>
        <w:rPr>
          <w:sz w:val="22"/>
          <w:szCs w:val="22"/>
        </w:rPr>
      </w:pPr>
      <w:r w:rsidRPr="00D907D1">
        <w:rPr>
          <w:sz w:val="22"/>
          <w:szCs w:val="22"/>
        </w:rPr>
        <w:t>Příloha č. 5:</w:t>
      </w:r>
      <w:r w:rsidRPr="00D907D1">
        <w:rPr>
          <w:sz w:val="22"/>
          <w:szCs w:val="22"/>
        </w:rPr>
        <w:tab/>
        <w:t>Realizační tým</w:t>
      </w:r>
      <w:r w:rsidR="00F52077" w:rsidRPr="00D907D1">
        <w:rPr>
          <w:sz w:val="22"/>
          <w:szCs w:val="22"/>
        </w:rPr>
        <w:t xml:space="preserve"> </w:t>
      </w:r>
    </w:p>
    <w:p w14:paraId="6D92CCEF" w14:textId="77777777" w:rsidR="005A6043" w:rsidRPr="006B55E3" w:rsidRDefault="005A6043" w:rsidP="005A6043">
      <w:pPr>
        <w:pStyle w:val="Seznam"/>
        <w:ind w:left="1410" w:hanging="1410"/>
        <w:rPr>
          <w:sz w:val="22"/>
          <w:szCs w:val="22"/>
        </w:rPr>
      </w:pPr>
    </w:p>
    <w:p w14:paraId="33CCDA5F" w14:textId="77777777" w:rsidR="00C55B8C" w:rsidRPr="006B55E3" w:rsidRDefault="00C55B8C" w:rsidP="00E2467E">
      <w:pPr>
        <w:pStyle w:val="Seznam"/>
        <w:ind w:left="1410" w:hanging="1410"/>
        <w:rPr>
          <w:sz w:val="22"/>
          <w:szCs w:val="22"/>
        </w:rPr>
      </w:pPr>
    </w:p>
    <w:p w14:paraId="54E23791" w14:textId="77777777" w:rsidR="000E69D3" w:rsidRPr="006B55E3" w:rsidRDefault="000E69D3" w:rsidP="00E2467E">
      <w:pPr>
        <w:pStyle w:val="Seznam3"/>
        <w:ind w:left="0" w:firstLine="0"/>
        <w:jc w:val="both"/>
        <w:rPr>
          <w:sz w:val="22"/>
          <w:szCs w:val="22"/>
        </w:rPr>
      </w:pPr>
    </w:p>
    <w:p w14:paraId="057A9357" w14:textId="73C63EA9"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w:t>
      </w:r>
      <w:r w:rsidR="00055D33">
        <w:rPr>
          <w:sz w:val="22"/>
          <w:szCs w:val="22"/>
          <w:highlight w:val="yellow"/>
        </w:rPr>
        <w:t>[DOPLNÍ ÚČASTNÍK]</w:t>
      </w:r>
    </w:p>
    <w:p w14:paraId="4A732607" w14:textId="77777777" w:rsidR="00C55B8C" w:rsidRDefault="00B11870" w:rsidP="00B11870">
      <w:pPr>
        <w:pStyle w:val="Seznam3"/>
        <w:tabs>
          <w:tab w:val="left" w:pos="5475"/>
        </w:tabs>
        <w:ind w:left="0" w:firstLine="0"/>
        <w:rPr>
          <w:sz w:val="22"/>
          <w:szCs w:val="22"/>
        </w:rPr>
      </w:pPr>
      <w:r>
        <w:rPr>
          <w:sz w:val="22"/>
          <w:szCs w:val="22"/>
        </w:rPr>
        <w:tab/>
      </w:r>
    </w:p>
    <w:p w14:paraId="3E86C7F0" w14:textId="77777777" w:rsidR="00B11870" w:rsidRPr="006B55E3" w:rsidRDefault="00B11870" w:rsidP="00B11870">
      <w:pPr>
        <w:pStyle w:val="Seznam3"/>
        <w:tabs>
          <w:tab w:val="left" w:pos="5475"/>
        </w:tabs>
        <w:ind w:left="0" w:firstLine="0"/>
        <w:rPr>
          <w:sz w:val="22"/>
          <w:szCs w:val="22"/>
        </w:rPr>
      </w:pPr>
    </w:p>
    <w:p w14:paraId="53B12385" w14:textId="77777777" w:rsidR="008925AA" w:rsidRPr="006B55E3" w:rsidRDefault="008925AA" w:rsidP="00E2467E">
      <w:pPr>
        <w:pStyle w:val="Seznam3"/>
        <w:ind w:left="0" w:firstLine="0"/>
        <w:rPr>
          <w:sz w:val="22"/>
          <w:szCs w:val="22"/>
        </w:rPr>
      </w:pPr>
    </w:p>
    <w:p w14:paraId="4DAC7D48" w14:textId="77777777" w:rsidR="008925AA" w:rsidRPr="006B55E3" w:rsidRDefault="00520954" w:rsidP="00E2467E">
      <w:pPr>
        <w:pStyle w:val="Seznam3"/>
        <w:ind w:left="0" w:firstLine="0"/>
        <w:rPr>
          <w:sz w:val="22"/>
          <w:szCs w:val="22"/>
        </w:rPr>
      </w:pPr>
      <w:r>
        <w:rPr>
          <w:rStyle w:val="Siln"/>
          <w:b/>
          <w:sz w:val="22"/>
          <w:szCs w:val="22"/>
        </w:rPr>
        <w:t xml:space="preserve"> </w:t>
      </w:r>
    </w:p>
    <w:p w14:paraId="6D4F166F" w14:textId="77777777" w:rsidR="00E2467E" w:rsidRPr="006B55E3" w:rsidRDefault="00E2467E" w:rsidP="00E2467E">
      <w:pPr>
        <w:pStyle w:val="Seznam3"/>
        <w:ind w:left="0" w:firstLine="0"/>
        <w:rPr>
          <w:sz w:val="22"/>
          <w:szCs w:val="22"/>
        </w:rPr>
      </w:pPr>
    </w:p>
    <w:p w14:paraId="0E1C9404"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7967224F"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049C2E22" w14:textId="0BE32F1C"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055D33">
        <w:rPr>
          <w:sz w:val="22"/>
          <w:szCs w:val="22"/>
          <w:highlight w:val="yellow"/>
        </w:rPr>
        <w:t>[DOPLNÍ ÚČASTNÍK]</w:t>
      </w:r>
    </w:p>
    <w:p w14:paraId="2B987AEC" w14:textId="77777777" w:rsidR="00055D33" w:rsidRDefault="00771F87" w:rsidP="00797996">
      <w:pPr>
        <w:pStyle w:val="Seznam3"/>
        <w:ind w:left="0" w:firstLine="0"/>
        <w:jc w:val="both"/>
        <w:rPr>
          <w:sz w:val="22"/>
          <w:szCs w:val="22"/>
          <w:highlight w:val="yellow"/>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w:t>
      </w:r>
      <w:r w:rsidR="00055D33">
        <w:rPr>
          <w:b/>
          <w:sz w:val="22"/>
          <w:szCs w:val="22"/>
        </w:rPr>
        <w:tab/>
      </w:r>
      <w:r w:rsidR="00055D33">
        <w:rPr>
          <w:sz w:val="22"/>
          <w:szCs w:val="22"/>
          <w:highlight w:val="yellow"/>
        </w:rPr>
        <w:t>[DOPLNÍ ÚČASTNÍK]</w:t>
      </w:r>
    </w:p>
    <w:p w14:paraId="53C2EF08" w14:textId="7A8DC3AB"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0DF5" w14:textId="77777777" w:rsidR="00846E4C" w:rsidRDefault="00846E4C" w:rsidP="009D192D">
      <w:r>
        <w:separator/>
      </w:r>
    </w:p>
  </w:endnote>
  <w:endnote w:type="continuationSeparator" w:id="0">
    <w:p w14:paraId="34B81FE0" w14:textId="77777777" w:rsidR="00846E4C" w:rsidRDefault="00846E4C"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BE1B" w14:textId="77777777" w:rsidR="00503025" w:rsidRPr="00537E84" w:rsidRDefault="001864BF">
    <w:pPr>
      <w:pStyle w:val="Zpat"/>
      <w:jc w:val="center"/>
      <w:rPr>
        <w:sz w:val="22"/>
      </w:rPr>
    </w:pPr>
    <w:r w:rsidRPr="00537E84">
      <w:rPr>
        <w:sz w:val="22"/>
      </w:rPr>
      <w:fldChar w:fldCharType="begin"/>
    </w:r>
    <w:r w:rsidR="00503025" w:rsidRPr="00537E84">
      <w:rPr>
        <w:sz w:val="22"/>
      </w:rPr>
      <w:instrText xml:space="preserve"> PAGE   \* MERGEFORMAT </w:instrText>
    </w:r>
    <w:r w:rsidRPr="00537E84">
      <w:rPr>
        <w:sz w:val="22"/>
      </w:rPr>
      <w:fldChar w:fldCharType="separate"/>
    </w:r>
    <w:r w:rsidR="007B213C">
      <w:rPr>
        <w:noProof/>
        <w:sz w:val="22"/>
      </w:rPr>
      <w:t>2</w:t>
    </w:r>
    <w:r w:rsidRPr="00537E84">
      <w:rPr>
        <w:noProof/>
        <w:sz w:val="22"/>
      </w:rPr>
      <w:fldChar w:fldCharType="end"/>
    </w:r>
  </w:p>
  <w:p w14:paraId="14E3D193" w14:textId="77777777" w:rsidR="00503025" w:rsidRDefault="00503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A9A0" w14:textId="77777777" w:rsidR="00846E4C" w:rsidRDefault="00846E4C" w:rsidP="009D192D">
      <w:r>
        <w:separator/>
      </w:r>
    </w:p>
  </w:footnote>
  <w:footnote w:type="continuationSeparator" w:id="0">
    <w:p w14:paraId="01B38364" w14:textId="77777777" w:rsidR="00846E4C" w:rsidRDefault="00846E4C"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7549" w14:textId="77777777" w:rsidR="00503025" w:rsidRDefault="00503025"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4"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5"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3"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7"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3"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4"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5"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8"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1"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3"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3"/>
  </w:num>
  <w:num w:numId="2">
    <w:abstractNumId w:val="18"/>
  </w:num>
  <w:num w:numId="3">
    <w:abstractNumId w:val="14"/>
  </w:num>
  <w:num w:numId="4">
    <w:abstractNumId w:val="15"/>
  </w:num>
  <w:num w:numId="5">
    <w:abstractNumId w:val="19"/>
  </w:num>
  <w:num w:numId="6">
    <w:abstractNumId w:val="24"/>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8"/>
  </w:num>
  <w:num w:numId="23">
    <w:abstractNumId w:val="1"/>
  </w:num>
  <w:num w:numId="24">
    <w:abstractNumId w:val="42"/>
  </w:num>
  <w:num w:numId="25">
    <w:abstractNumId w:val="41"/>
  </w:num>
  <w:num w:numId="26">
    <w:abstractNumId w:val="30"/>
  </w:num>
  <w:num w:numId="27">
    <w:abstractNumId w:val="26"/>
  </w:num>
  <w:num w:numId="28">
    <w:abstractNumId w:val="27"/>
  </w:num>
  <w:num w:numId="29">
    <w:abstractNumId w:val="32"/>
  </w:num>
  <w:num w:numId="30">
    <w:abstractNumId w:val="47"/>
  </w:num>
  <w:num w:numId="31">
    <w:abstractNumId w:val="9"/>
  </w:num>
  <w:num w:numId="32">
    <w:abstractNumId w:val="28"/>
  </w:num>
  <w:num w:numId="33">
    <w:abstractNumId w:val="36"/>
  </w:num>
  <w:num w:numId="34">
    <w:abstractNumId w:val="35"/>
  </w:num>
  <w:num w:numId="35">
    <w:abstractNumId w:val="48"/>
  </w:num>
  <w:num w:numId="36">
    <w:abstractNumId w:val="45"/>
  </w:num>
  <w:num w:numId="37">
    <w:abstractNumId w:val="40"/>
  </w:num>
  <w:num w:numId="38">
    <w:abstractNumId w:val="21"/>
  </w:num>
  <w:num w:numId="39">
    <w:abstractNumId w:val="17"/>
  </w:num>
  <w:num w:numId="40">
    <w:abstractNumId w:val="49"/>
  </w:num>
  <w:num w:numId="41">
    <w:abstractNumId w:val="50"/>
  </w:num>
  <w:num w:numId="42">
    <w:abstractNumId w:val="16"/>
  </w:num>
  <w:num w:numId="43">
    <w:abstractNumId w:val="25"/>
  </w:num>
  <w:num w:numId="44">
    <w:abstractNumId w:val="37"/>
  </w:num>
  <w:num w:numId="45">
    <w:abstractNumId w:val="39"/>
  </w:num>
  <w:num w:numId="46">
    <w:abstractNumId w:val="6"/>
  </w:num>
  <w:num w:numId="47">
    <w:abstractNumId w:val="46"/>
  </w:num>
  <w:num w:numId="48">
    <w:abstractNumId w:val="34"/>
  </w:num>
  <w:num w:numId="49">
    <w:abstractNumId w:val="22"/>
  </w:num>
  <w:num w:numId="50">
    <w:abstractNumId w:val="13"/>
  </w:num>
  <w:num w:numId="51">
    <w:abstractNumId w:val="23"/>
  </w:num>
  <w:num w:numId="52">
    <w:abstractNumId w:val="43"/>
  </w:num>
  <w:num w:numId="53">
    <w:abstractNumId w:val="29"/>
  </w:num>
  <w:num w:numId="54">
    <w:abstractNumId w:val="33"/>
  </w:num>
  <w:num w:numId="55">
    <w:abstractNumId w:val="31"/>
  </w:num>
  <w:num w:numId="56">
    <w:abstractNumId w:val="2"/>
  </w:num>
  <w:num w:numId="57">
    <w:abstractNumId w:val="20"/>
  </w:num>
  <w:num w:numId="58">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55D33"/>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E0F2D"/>
    <w:rsid w:val="000E2AEB"/>
    <w:rsid w:val="000E69D3"/>
    <w:rsid w:val="000F0668"/>
    <w:rsid w:val="000F674A"/>
    <w:rsid w:val="000F76D0"/>
    <w:rsid w:val="0010283B"/>
    <w:rsid w:val="00106DDA"/>
    <w:rsid w:val="001073FF"/>
    <w:rsid w:val="00110AB4"/>
    <w:rsid w:val="0011225D"/>
    <w:rsid w:val="00120B44"/>
    <w:rsid w:val="001210AE"/>
    <w:rsid w:val="00122889"/>
    <w:rsid w:val="00123CDA"/>
    <w:rsid w:val="00125064"/>
    <w:rsid w:val="00127299"/>
    <w:rsid w:val="00130F57"/>
    <w:rsid w:val="001316FD"/>
    <w:rsid w:val="00132A39"/>
    <w:rsid w:val="0013446D"/>
    <w:rsid w:val="00135BB2"/>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80F75"/>
    <w:rsid w:val="00184E5C"/>
    <w:rsid w:val="0018647A"/>
    <w:rsid w:val="001864BF"/>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FFF"/>
    <w:rsid w:val="002447DB"/>
    <w:rsid w:val="00245814"/>
    <w:rsid w:val="0024637D"/>
    <w:rsid w:val="00251268"/>
    <w:rsid w:val="00256056"/>
    <w:rsid w:val="002604B5"/>
    <w:rsid w:val="00264E7F"/>
    <w:rsid w:val="00271C8D"/>
    <w:rsid w:val="00271FD7"/>
    <w:rsid w:val="00275895"/>
    <w:rsid w:val="00276A04"/>
    <w:rsid w:val="0027734B"/>
    <w:rsid w:val="00280734"/>
    <w:rsid w:val="00281F59"/>
    <w:rsid w:val="00283F30"/>
    <w:rsid w:val="002933D4"/>
    <w:rsid w:val="00297BE9"/>
    <w:rsid w:val="002B11FC"/>
    <w:rsid w:val="002B126E"/>
    <w:rsid w:val="002B17FB"/>
    <w:rsid w:val="002B36DD"/>
    <w:rsid w:val="002B3D09"/>
    <w:rsid w:val="002B5483"/>
    <w:rsid w:val="002C45C7"/>
    <w:rsid w:val="002C4A29"/>
    <w:rsid w:val="002C52FA"/>
    <w:rsid w:val="002C7801"/>
    <w:rsid w:val="002C786F"/>
    <w:rsid w:val="002D1F92"/>
    <w:rsid w:val="002D6A37"/>
    <w:rsid w:val="002D71D8"/>
    <w:rsid w:val="002D776B"/>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1B7D"/>
    <w:rsid w:val="003241FE"/>
    <w:rsid w:val="0032439E"/>
    <w:rsid w:val="00326CAA"/>
    <w:rsid w:val="00326D63"/>
    <w:rsid w:val="0033118F"/>
    <w:rsid w:val="00332EE4"/>
    <w:rsid w:val="00340299"/>
    <w:rsid w:val="003433AF"/>
    <w:rsid w:val="0034637E"/>
    <w:rsid w:val="00363AD0"/>
    <w:rsid w:val="00365E40"/>
    <w:rsid w:val="00366FFB"/>
    <w:rsid w:val="00373FCE"/>
    <w:rsid w:val="00381155"/>
    <w:rsid w:val="003845FB"/>
    <w:rsid w:val="00386E7D"/>
    <w:rsid w:val="00387F22"/>
    <w:rsid w:val="003911E6"/>
    <w:rsid w:val="00394A80"/>
    <w:rsid w:val="00396091"/>
    <w:rsid w:val="003A010B"/>
    <w:rsid w:val="003A5996"/>
    <w:rsid w:val="003A5B28"/>
    <w:rsid w:val="003A5D8E"/>
    <w:rsid w:val="003A6CC5"/>
    <w:rsid w:val="003A7529"/>
    <w:rsid w:val="003B213D"/>
    <w:rsid w:val="003B27E4"/>
    <w:rsid w:val="003B7423"/>
    <w:rsid w:val="003B7F15"/>
    <w:rsid w:val="003C01BA"/>
    <w:rsid w:val="003C02CC"/>
    <w:rsid w:val="003C2426"/>
    <w:rsid w:val="003C3215"/>
    <w:rsid w:val="003C59CB"/>
    <w:rsid w:val="003D0929"/>
    <w:rsid w:val="003D366F"/>
    <w:rsid w:val="003D45DE"/>
    <w:rsid w:val="003E025E"/>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50151"/>
    <w:rsid w:val="0045041F"/>
    <w:rsid w:val="00450505"/>
    <w:rsid w:val="00453D8C"/>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2DD5"/>
    <w:rsid w:val="004D3A35"/>
    <w:rsid w:val="004D511B"/>
    <w:rsid w:val="004D75DF"/>
    <w:rsid w:val="004E4077"/>
    <w:rsid w:val="004E42BC"/>
    <w:rsid w:val="004E455C"/>
    <w:rsid w:val="004F1544"/>
    <w:rsid w:val="004F16B6"/>
    <w:rsid w:val="004F5BF7"/>
    <w:rsid w:val="004F79C3"/>
    <w:rsid w:val="005013F1"/>
    <w:rsid w:val="005024C9"/>
    <w:rsid w:val="00503025"/>
    <w:rsid w:val="00507FF9"/>
    <w:rsid w:val="00511867"/>
    <w:rsid w:val="005169CD"/>
    <w:rsid w:val="00520954"/>
    <w:rsid w:val="00520C5A"/>
    <w:rsid w:val="00520EBA"/>
    <w:rsid w:val="00520FEB"/>
    <w:rsid w:val="0052433D"/>
    <w:rsid w:val="005258E0"/>
    <w:rsid w:val="005275B5"/>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640"/>
    <w:rsid w:val="005765B5"/>
    <w:rsid w:val="00580B42"/>
    <w:rsid w:val="005816C0"/>
    <w:rsid w:val="005821FC"/>
    <w:rsid w:val="00584107"/>
    <w:rsid w:val="00585B62"/>
    <w:rsid w:val="005866DD"/>
    <w:rsid w:val="0058673F"/>
    <w:rsid w:val="00590016"/>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139C"/>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911DF"/>
    <w:rsid w:val="00691FDB"/>
    <w:rsid w:val="00692847"/>
    <w:rsid w:val="00695730"/>
    <w:rsid w:val="0069661F"/>
    <w:rsid w:val="00696F8C"/>
    <w:rsid w:val="006A049D"/>
    <w:rsid w:val="006A2E08"/>
    <w:rsid w:val="006A2EAC"/>
    <w:rsid w:val="006A5F55"/>
    <w:rsid w:val="006A6BB2"/>
    <w:rsid w:val="006A7024"/>
    <w:rsid w:val="006B304D"/>
    <w:rsid w:val="006B55E3"/>
    <w:rsid w:val="006B763F"/>
    <w:rsid w:val="006C0114"/>
    <w:rsid w:val="006C055B"/>
    <w:rsid w:val="006C17C8"/>
    <w:rsid w:val="006C2D22"/>
    <w:rsid w:val="006C32D2"/>
    <w:rsid w:val="006C4087"/>
    <w:rsid w:val="006C545F"/>
    <w:rsid w:val="006D0223"/>
    <w:rsid w:val="006D2611"/>
    <w:rsid w:val="006D4BCD"/>
    <w:rsid w:val="006D61A3"/>
    <w:rsid w:val="006D75D2"/>
    <w:rsid w:val="006F61DF"/>
    <w:rsid w:val="00703875"/>
    <w:rsid w:val="00703B76"/>
    <w:rsid w:val="00705C9B"/>
    <w:rsid w:val="007212FB"/>
    <w:rsid w:val="007229ED"/>
    <w:rsid w:val="007243FE"/>
    <w:rsid w:val="00727D20"/>
    <w:rsid w:val="007304F4"/>
    <w:rsid w:val="00730626"/>
    <w:rsid w:val="007327B7"/>
    <w:rsid w:val="00735675"/>
    <w:rsid w:val="00735A1E"/>
    <w:rsid w:val="00735CBF"/>
    <w:rsid w:val="0073610A"/>
    <w:rsid w:val="0073786E"/>
    <w:rsid w:val="00743D39"/>
    <w:rsid w:val="00745452"/>
    <w:rsid w:val="00745EAA"/>
    <w:rsid w:val="00757738"/>
    <w:rsid w:val="00757E3C"/>
    <w:rsid w:val="00761BB3"/>
    <w:rsid w:val="0076237F"/>
    <w:rsid w:val="00763A93"/>
    <w:rsid w:val="00764CCA"/>
    <w:rsid w:val="00766476"/>
    <w:rsid w:val="00771F87"/>
    <w:rsid w:val="007739B0"/>
    <w:rsid w:val="00775AEE"/>
    <w:rsid w:val="00780731"/>
    <w:rsid w:val="00781307"/>
    <w:rsid w:val="00786394"/>
    <w:rsid w:val="007878BD"/>
    <w:rsid w:val="00787DBA"/>
    <w:rsid w:val="0079022D"/>
    <w:rsid w:val="0079727C"/>
    <w:rsid w:val="00797996"/>
    <w:rsid w:val="007B213C"/>
    <w:rsid w:val="007B7848"/>
    <w:rsid w:val="007C0C31"/>
    <w:rsid w:val="007C13D3"/>
    <w:rsid w:val="007C1A36"/>
    <w:rsid w:val="007D3489"/>
    <w:rsid w:val="007D3D0C"/>
    <w:rsid w:val="007D5D29"/>
    <w:rsid w:val="007D6743"/>
    <w:rsid w:val="007D6A0B"/>
    <w:rsid w:val="007E4054"/>
    <w:rsid w:val="007F1F67"/>
    <w:rsid w:val="007F293C"/>
    <w:rsid w:val="007F5B59"/>
    <w:rsid w:val="007F6CCF"/>
    <w:rsid w:val="007F7091"/>
    <w:rsid w:val="008000C1"/>
    <w:rsid w:val="00801C02"/>
    <w:rsid w:val="00802EE9"/>
    <w:rsid w:val="00803BAB"/>
    <w:rsid w:val="00811242"/>
    <w:rsid w:val="00812A91"/>
    <w:rsid w:val="00813CD3"/>
    <w:rsid w:val="00814991"/>
    <w:rsid w:val="00817F05"/>
    <w:rsid w:val="00822927"/>
    <w:rsid w:val="00825A79"/>
    <w:rsid w:val="00825C93"/>
    <w:rsid w:val="008268DA"/>
    <w:rsid w:val="00833477"/>
    <w:rsid w:val="00833A0D"/>
    <w:rsid w:val="00837A70"/>
    <w:rsid w:val="00837CC2"/>
    <w:rsid w:val="0084108E"/>
    <w:rsid w:val="00846E4C"/>
    <w:rsid w:val="00850647"/>
    <w:rsid w:val="0085095A"/>
    <w:rsid w:val="0085235A"/>
    <w:rsid w:val="0085322C"/>
    <w:rsid w:val="00854995"/>
    <w:rsid w:val="00857495"/>
    <w:rsid w:val="0086242F"/>
    <w:rsid w:val="00862461"/>
    <w:rsid w:val="00862BA0"/>
    <w:rsid w:val="00866FAE"/>
    <w:rsid w:val="008679B1"/>
    <w:rsid w:val="00873BE0"/>
    <w:rsid w:val="008742A2"/>
    <w:rsid w:val="0087546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C2820"/>
    <w:rsid w:val="008C2BF1"/>
    <w:rsid w:val="008C7761"/>
    <w:rsid w:val="008D0C0F"/>
    <w:rsid w:val="008D1415"/>
    <w:rsid w:val="008D3748"/>
    <w:rsid w:val="008D533F"/>
    <w:rsid w:val="008D63A2"/>
    <w:rsid w:val="008D6AB6"/>
    <w:rsid w:val="008D7B57"/>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3310"/>
    <w:rsid w:val="00973331"/>
    <w:rsid w:val="00974199"/>
    <w:rsid w:val="00980DDC"/>
    <w:rsid w:val="00984B81"/>
    <w:rsid w:val="009854AE"/>
    <w:rsid w:val="009915E2"/>
    <w:rsid w:val="00996654"/>
    <w:rsid w:val="00997702"/>
    <w:rsid w:val="009A6767"/>
    <w:rsid w:val="009B692F"/>
    <w:rsid w:val="009B6E7F"/>
    <w:rsid w:val="009B701B"/>
    <w:rsid w:val="009C1435"/>
    <w:rsid w:val="009C2F37"/>
    <w:rsid w:val="009C5D91"/>
    <w:rsid w:val="009C65B1"/>
    <w:rsid w:val="009C6D71"/>
    <w:rsid w:val="009C712F"/>
    <w:rsid w:val="009D192D"/>
    <w:rsid w:val="009D4004"/>
    <w:rsid w:val="009D4F6C"/>
    <w:rsid w:val="009D7F07"/>
    <w:rsid w:val="009E21E4"/>
    <w:rsid w:val="009F20D7"/>
    <w:rsid w:val="009F2F86"/>
    <w:rsid w:val="009F3AC4"/>
    <w:rsid w:val="009F3D93"/>
    <w:rsid w:val="009F4E1D"/>
    <w:rsid w:val="009F505F"/>
    <w:rsid w:val="009F59F2"/>
    <w:rsid w:val="009F7645"/>
    <w:rsid w:val="00A06DDB"/>
    <w:rsid w:val="00A07DC0"/>
    <w:rsid w:val="00A16A35"/>
    <w:rsid w:val="00A174FF"/>
    <w:rsid w:val="00A17992"/>
    <w:rsid w:val="00A204A8"/>
    <w:rsid w:val="00A24929"/>
    <w:rsid w:val="00A24992"/>
    <w:rsid w:val="00A3081F"/>
    <w:rsid w:val="00A30E25"/>
    <w:rsid w:val="00A40F1F"/>
    <w:rsid w:val="00A43314"/>
    <w:rsid w:val="00A4648F"/>
    <w:rsid w:val="00A469DB"/>
    <w:rsid w:val="00A60B9F"/>
    <w:rsid w:val="00A63FDC"/>
    <w:rsid w:val="00A6561D"/>
    <w:rsid w:val="00A66798"/>
    <w:rsid w:val="00A67E6E"/>
    <w:rsid w:val="00A7657E"/>
    <w:rsid w:val="00A82787"/>
    <w:rsid w:val="00A82817"/>
    <w:rsid w:val="00A848E2"/>
    <w:rsid w:val="00A86FC9"/>
    <w:rsid w:val="00A905C0"/>
    <w:rsid w:val="00A910D7"/>
    <w:rsid w:val="00A962A3"/>
    <w:rsid w:val="00AA0AF1"/>
    <w:rsid w:val="00AB6023"/>
    <w:rsid w:val="00AB70EC"/>
    <w:rsid w:val="00AB7507"/>
    <w:rsid w:val="00AC1997"/>
    <w:rsid w:val="00AC1DAE"/>
    <w:rsid w:val="00AC3367"/>
    <w:rsid w:val="00AC70BA"/>
    <w:rsid w:val="00AC7895"/>
    <w:rsid w:val="00AD11F4"/>
    <w:rsid w:val="00AD2726"/>
    <w:rsid w:val="00AD5ECC"/>
    <w:rsid w:val="00AD5ECD"/>
    <w:rsid w:val="00AD6FF4"/>
    <w:rsid w:val="00AE2EBB"/>
    <w:rsid w:val="00AE49A3"/>
    <w:rsid w:val="00AE65F6"/>
    <w:rsid w:val="00AF30EF"/>
    <w:rsid w:val="00AF7292"/>
    <w:rsid w:val="00B00B86"/>
    <w:rsid w:val="00B03FB1"/>
    <w:rsid w:val="00B05EB0"/>
    <w:rsid w:val="00B11870"/>
    <w:rsid w:val="00B12D56"/>
    <w:rsid w:val="00B131B0"/>
    <w:rsid w:val="00B133A8"/>
    <w:rsid w:val="00B137AF"/>
    <w:rsid w:val="00B13A03"/>
    <w:rsid w:val="00B140C3"/>
    <w:rsid w:val="00B144C2"/>
    <w:rsid w:val="00B15C0E"/>
    <w:rsid w:val="00B20E1C"/>
    <w:rsid w:val="00B2265E"/>
    <w:rsid w:val="00B22A02"/>
    <w:rsid w:val="00B238BC"/>
    <w:rsid w:val="00B35381"/>
    <w:rsid w:val="00B3571D"/>
    <w:rsid w:val="00B40A7B"/>
    <w:rsid w:val="00B44900"/>
    <w:rsid w:val="00B4566F"/>
    <w:rsid w:val="00B51843"/>
    <w:rsid w:val="00B52536"/>
    <w:rsid w:val="00B54A21"/>
    <w:rsid w:val="00B61505"/>
    <w:rsid w:val="00B61906"/>
    <w:rsid w:val="00B6339D"/>
    <w:rsid w:val="00B671FF"/>
    <w:rsid w:val="00B71D73"/>
    <w:rsid w:val="00B7741D"/>
    <w:rsid w:val="00B83973"/>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2235"/>
    <w:rsid w:val="00BB479D"/>
    <w:rsid w:val="00BB566B"/>
    <w:rsid w:val="00BC4893"/>
    <w:rsid w:val="00BD01AC"/>
    <w:rsid w:val="00BD7F2F"/>
    <w:rsid w:val="00BE2F58"/>
    <w:rsid w:val="00BE464C"/>
    <w:rsid w:val="00BE62E3"/>
    <w:rsid w:val="00BF4FFA"/>
    <w:rsid w:val="00C062F0"/>
    <w:rsid w:val="00C064F8"/>
    <w:rsid w:val="00C0755D"/>
    <w:rsid w:val="00C10A35"/>
    <w:rsid w:val="00C11B83"/>
    <w:rsid w:val="00C15349"/>
    <w:rsid w:val="00C15E92"/>
    <w:rsid w:val="00C21F46"/>
    <w:rsid w:val="00C22129"/>
    <w:rsid w:val="00C235FD"/>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AD4"/>
    <w:rsid w:val="00C52D32"/>
    <w:rsid w:val="00C55B8C"/>
    <w:rsid w:val="00C567CE"/>
    <w:rsid w:val="00C642CE"/>
    <w:rsid w:val="00C649C5"/>
    <w:rsid w:val="00C6627F"/>
    <w:rsid w:val="00C66F2C"/>
    <w:rsid w:val="00C67B29"/>
    <w:rsid w:val="00C71168"/>
    <w:rsid w:val="00C71FEC"/>
    <w:rsid w:val="00C72766"/>
    <w:rsid w:val="00C74316"/>
    <w:rsid w:val="00C76089"/>
    <w:rsid w:val="00C80943"/>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5D4"/>
    <w:rsid w:val="00D10A59"/>
    <w:rsid w:val="00D312A8"/>
    <w:rsid w:val="00D3714A"/>
    <w:rsid w:val="00D414CC"/>
    <w:rsid w:val="00D43051"/>
    <w:rsid w:val="00D446D2"/>
    <w:rsid w:val="00D4618E"/>
    <w:rsid w:val="00D47CC6"/>
    <w:rsid w:val="00D52566"/>
    <w:rsid w:val="00D53F73"/>
    <w:rsid w:val="00D5430F"/>
    <w:rsid w:val="00D55AD2"/>
    <w:rsid w:val="00D57607"/>
    <w:rsid w:val="00D57CF4"/>
    <w:rsid w:val="00D63951"/>
    <w:rsid w:val="00D63AD4"/>
    <w:rsid w:val="00D675F1"/>
    <w:rsid w:val="00D7196C"/>
    <w:rsid w:val="00D723CA"/>
    <w:rsid w:val="00D72C5D"/>
    <w:rsid w:val="00D74E0A"/>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B92"/>
    <w:rsid w:val="00DC49EB"/>
    <w:rsid w:val="00DC5975"/>
    <w:rsid w:val="00DD1D51"/>
    <w:rsid w:val="00DD75FD"/>
    <w:rsid w:val="00DE1373"/>
    <w:rsid w:val="00DE4509"/>
    <w:rsid w:val="00DF1728"/>
    <w:rsid w:val="00DF2732"/>
    <w:rsid w:val="00DF4C93"/>
    <w:rsid w:val="00DF5A3C"/>
    <w:rsid w:val="00DF714A"/>
    <w:rsid w:val="00E02F56"/>
    <w:rsid w:val="00E071C7"/>
    <w:rsid w:val="00E12549"/>
    <w:rsid w:val="00E12722"/>
    <w:rsid w:val="00E139A8"/>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2F1"/>
    <w:rsid w:val="00E83D11"/>
    <w:rsid w:val="00E83F31"/>
    <w:rsid w:val="00E8499C"/>
    <w:rsid w:val="00E90743"/>
    <w:rsid w:val="00E92F87"/>
    <w:rsid w:val="00E94D82"/>
    <w:rsid w:val="00EA0C74"/>
    <w:rsid w:val="00EA31AB"/>
    <w:rsid w:val="00EA4560"/>
    <w:rsid w:val="00EA50FB"/>
    <w:rsid w:val="00EA7A32"/>
    <w:rsid w:val="00EB1A31"/>
    <w:rsid w:val="00EB625C"/>
    <w:rsid w:val="00EC0D2E"/>
    <w:rsid w:val="00EC1401"/>
    <w:rsid w:val="00EC45C2"/>
    <w:rsid w:val="00EC50E8"/>
    <w:rsid w:val="00ED043B"/>
    <w:rsid w:val="00ED5FBE"/>
    <w:rsid w:val="00ED5FF1"/>
    <w:rsid w:val="00ED662A"/>
    <w:rsid w:val="00EE39BD"/>
    <w:rsid w:val="00EF44A8"/>
    <w:rsid w:val="00F02211"/>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477A5"/>
    <w:rsid w:val="00F52077"/>
    <w:rsid w:val="00F53E40"/>
    <w:rsid w:val="00F54548"/>
    <w:rsid w:val="00F55A3B"/>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EC6"/>
    <w:rsid w:val="00F943E6"/>
    <w:rsid w:val="00F9480C"/>
    <w:rsid w:val="00F95CA6"/>
    <w:rsid w:val="00FA5D78"/>
    <w:rsid w:val="00FA7797"/>
    <w:rsid w:val="00FB2F58"/>
    <w:rsid w:val="00FB3D73"/>
    <w:rsid w:val="00FB60A2"/>
    <w:rsid w:val="00FC11DE"/>
    <w:rsid w:val="00FC17F5"/>
    <w:rsid w:val="00FC3295"/>
    <w:rsid w:val="00FC3C6D"/>
    <w:rsid w:val="00FC3E02"/>
    <w:rsid w:val="00FC6A54"/>
    <w:rsid w:val="00FD2D59"/>
    <w:rsid w:val="00FD4626"/>
    <w:rsid w:val="00FE0DFB"/>
    <w:rsid w:val="00FE35C2"/>
    <w:rsid w:val="00FE51CE"/>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CDD1"/>
  <w15:docId w15:val="{A1CF51C6-444E-4CF9-9078-CAAC5D7B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 w:id="171044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svadlen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6180D-5C05-4CDA-A148-FEB9814B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0</TotalTime>
  <Pages>12</Pages>
  <Words>6494</Words>
  <Characters>38316</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44721</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2022-04-28T05:56:00Z</cp:lastPrinted>
  <dcterms:created xsi:type="dcterms:W3CDTF">2025-11-14T12:48:00Z</dcterms:created>
  <dcterms:modified xsi:type="dcterms:W3CDTF">2025-11-14T12:48:00Z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