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C0880" w14:textId="77777777" w:rsidR="001E25AC" w:rsidRDefault="001E25AC" w:rsidP="001E25AC">
      <w:pPr>
        <w:pStyle w:val="Nadpis1"/>
        <w:numPr>
          <w:ilvl w:val="0"/>
          <w:numId w:val="0"/>
        </w:numPr>
        <w:spacing w:before="0" w:after="0"/>
        <w:jc w:val="center"/>
        <w:rPr>
          <w:rFonts w:ascii="Times New Roman" w:hAnsi="Times New Roman" w:cs="Times New Roman"/>
          <w:sz w:val="28"/>
          <w:szCs w:val="28"/>
        </w:rPr>
      </w:pPr>
      <w:bookmarkStart w:id="0" w:name="_GoBack"/>
      <w:bookmarkEnd w:id="0"/>
    </w:p>
    <w:p w14:paraId="25DF0552" w14:textId="77777777" w:rsidR="001E25AC" w:rsidRDefault="001E25AC" w:rsidP="001E25AC">
      <w:pPr>
        <w:pStyle w:val="Nadpis1"/>
        <w:numPr>
          <w:ilvl w:val="0"/>
          <w:numId w:val="0"/>
        </w:numPr>
        <w:spacing w:before="0" w:after="0"/>
        <w:jc w:val="center"/>
        <w:rPr>
          <w:rFonts w:ascii="Times New Roman" w:hAnsi="Times New Roman" w:cs="Times New Roman"/>
          <w:sz w:val="28"/>
          <w:szCs w:val="28"/>
        </w:rPr>
      </w:pPr>
      <w:r>
        <w:rPr>
          <w:rFonts w:ascii="Times New Roman" w:hAnsi="Times New Roman" w:cs="Times New Roman"/>
          <w:sz w:val="28"/>
          <w:szCs w:val="28"/>
        </w:rPr>
        <w:t>RÁMCOVÁ KUPNÍ DOHODA</w:t>
      </w:r>
    </w:p>
    <w:p w14:paraId="77DBE723" w14:textId="77777777" w:rsidR="001E25AC" w:rsidRPr="001E25AC" w:rsidRDefault="001E25AC" w:rsidP="001E25AC">
      <w:pPr>
        <w:jc w:val="center"/>
        <w:rPr>
          <w:b/>
          <w:sz w:val="28"/>
          <w:szCs w:val="28"/>
        </w:rPr>
      </w:pPr>
      <w:r w:rsidRPr="001E25AC">
        <w:rPr>
          <w:b/>
          <w:sz w:val="28"/>
          <w:szCs w:val="28"/>
        </w:rPr>
        <w:t>na nákup kancelářských potřeb a drogistického zboží</w:t>
      </w:r>
    </w:p>
    <w:p w14:paraId="4A3F2D70" w14:textId="4C2A0975" w:rsidR="001E25AC" w:rsidRDefault="001E25AC" w:rsidP="001E25AC">
      <w:pPr>
        <w:pStyle w:val="Zkladntext"/>
        <w:jc w:val="center"/>
        <w:rPr>
          <w:i/>
        </w:rPr>
      </w:pPr>
      <w:r w:rsidRPr="001E25AC">
        <w:t>uzavřená</w:t>
      </w:r>
      <w:r w:rsidR="006A129A">
        <w:rPr>
          <w:b/>
        </w:rPr>
        <w:t xml:space="preserve"> podle ustanovení § 2079</w:t>
      </w:r>
      <w:r>
        <w:rPr>
          <w:b/>
        </w:rPr>
        <w:t xml:space="preserve"> a násl. zákona č. 89/2012 Sb., občanský zákoník, v platném znění</w:t>
      </w:r>
    </w:p>
    <w:p w14:paraId="74BF081D" w14:textId="77777777" w:rsidR="001E25AC" w:rsidRDefault="001E25AC" w:rsidP="001E25AC">
      <w:pPr>
        <w:pStyle w:val="Zkladntext"/>
        <w:spacing w:before="120"/>
        <w:jc w:val="center"/>
        <w:rPr>
          <w:sz w:val="26"/>
          <w:szCs w:val="26"/>
        </w:rPr>
      </w:pPr>
      <w:r>
        <w:rPr>
          <w:i/>
        </w:rPr>
        <w:t xml:space="preserve"> (dále jen </w:t>
      </w:r>
      <w:r>
        <w:rPr>
          <w:b/>
          <w:i/>
        </w:rPr>
        <w:t>„dohoda“</w:t>
      </w:r>
      <w:r>
        <w:rPr>
          <w:i/>
        </w:rPr>
        <w:t>)</w:t>
      </w:r>
    </w:p>
    <w:p w14:paraId="5FA725FD" w14:textId="77777777" w:rsidR="001E25AC" w:rsidRDefault="001E25AC" w:rsidP="001E25AC">
      <w:pPr>
        <w:pStyle w:val="Nadpis1"/>
        <w:numPr>
          <w:ilvl w:val="0"/>
          <w:numId w:val="1"/>
        </w:numPr>
        <w:jc w:val="center"/>
      </w:pPr>
      <w:r>
        <w:rPr>
          <w:rFonts w:ascii="Times New Roman" w:hAnsi="Times New Roman" w:cs="Times New Roman"/>
          <w:sz w:val="26"/>
          <w:szCs w:val="26"/>
        </w:rPr>
        <w:t>Smluvní strany</w:t>
      </w:r>
    </w:p>
    <w:p w14:paraId="2A6932A7" w14:textId="77777777" w:rsidR="001E25AC" w:rsidRDefault="001E25AC" w:rsidP="001E25AC">
      <w:pPr>
        <w:rPr>
          <w:b/>
        </w:rPr>
      </w:pPr>
    </w:p>
    <w:p w14:paraId="20C8FF0C" w14:textId="77777777" w:rsidR="001E25AC" w:rsidRDefault="001E25AC" w:rsidP="001E25AC">
      <w:pPr>
        <w:tabs>
          <w:tab w:val="left" w:pos="567"/>
          <w:tab w:val="left" w:pos="2410"/>
        </w:tabs>
        <w:spacing w:line="360" w:lineRule="auto"/>
      </w:pPr>
      <w:r>
        <w:rPr>
          <w:b/>
        </w:rPr>
        <w:t>1. 1.</w:t>
      </w:r>
      <w:r>
        <w:rPr>
          <w:b/>
        </w:rPr>
        <w:tab/>
        <w:t>Objednatel</w:t>
      </w:r>
      <w:r>
        <w:t xml:space="preserve">: </w:t>
      </w:r>
      <w:r>
        <w:tab/>
      </w:r>
      <w:r>
        <w:rPr>
          <w:b/>
        </w:rPr>
        <w:t>Městská část Praha 5</w:t>
      </w:r>
    </w:p>
    <w:p w14:paraId="59ED22AF" w14:textId="77777777" w:rsidR="001E25AC" w:rsidRDefault="001E25AC" w:rsidP="001E25AC">
      <w:pPr>
        <w:tabs>
          <w:tab w:val="left" w:pos="567"/>
          <w:tab w:val="left" w:pos="2410"/>
        </w:tabs>
      </w:pPr>
      <w:r>
        <w:tab/>
        <w:t xml:space="preserve">se sídlem:      </w:t>
      </w:r>
      <w:r>
        <w:tab/>
        <w:t>náměstí 14. října 4, 150 22 Praha 5</w:t>
      </w:r>
    </w:p>
    <w:p w14:paraId="79587DAB" w14:textId="77777777" w:rsidR="001E25AC" w:rsidRDefault="001E25AC" w:rsidP="001E25AC">
      <w:pPr>
        <w:tabs>
          <w:tab w:val="left" w:pos="567"/>
          <w:tab w:val="left" w:pos="2410"/>
        </w:tabs>
      </w:pPr>
      <w:r>
        <w:tab/>
      </w:r>
      <w:r w:rsidRPr="00C01DD0">
        <w:t>zastoupená:</w:t>
      </w:r>
      <w:r w:rsidRPr="00C01DD0">
        <w:tab/>
        <w:t>Ing. Pavlem Richterem, starostou MČ Praha 5</w:t>
      </w:r>
    </w:p>
    <w:p w14:paraId="52DA111D" w14:textId="77777777" w:rsidR="001E25AC" w:rsidRDefault="001E25AC" w:rsidP="001E25AC">
      <w:pPr>
        <w:tabs>
          <w:tab w:val="left" w:pos="567"/>
          <w:tab w:val="left" w:pos="2410"/>
        </w:tabs>
      </w:pPr>
      <w:r>
        <w:tab/>
        <w:t xml:space="preserve">IČO:               </w:t>
      </w:r>
      <w:r>
        <w:tab/>
        <w:t xml:space="preserve">00063631 </w:t>
      </w:r>
    </w:p>
    <w:p w14:paraId="12CF7974" w14:textId="77777777" w:rsidR="001E25AC" w:rsidRDefault="001E25AC" w:rsidP="001E25AC">
      <w:pPr>
        <w:tabs>
          <w:tab w:val="left" w:pos="567"/>
          <w:tab w:val="left" w:pos="2410"/>
        </w:tabs>
      </w:pPr>
      <w:r>
        <w:tab/>
        <w:t xml:space="preserve">DIČ:               </w:t>
      </w:r>
      <w:r>
        <w:tab/>
        <w:t>CZ00063631</w:t>
      </w:r>
    </w:p>
    <w:p w14:paraId="3C730A8B" w14:textId="77777777" w:rsidR="001E25AC" w:rsidRDefault="001E25AC" w:rsidP="001E25AC">
      <w:pPr>
        <w:tabs>
          <w:tab w:val="left" w:pos="567"/>
          <w:tab w:val="left" w:pos="2410"/>
        </w:tabs>
      </w:pPr>
      <w:r>
        <w:tab/>
        <w:t>bankovní spojení:</w:t>
      </w:r>
      <w:r>
        <w:tab/>
        <w:t>Česká spořitelna a.s.</w:t>
      </w:r>
    </w:p>
    <w:p w14:paraId="24684134" w14:textId="77777777" w:rsidR="001E25AC" w:rsidRDefault="001E25AC" w:rsidP="001E25AC">
      <w:pPr>
        <w:tabs>
          <w:tab w:val="left" w:pos="567"/>
          <w:tab w:val="left" w:pos="2410"/>
        </w:tabs>
      </w:pPr>
      <w:r>
        <w:tab/>
        <w:t xml:space="preserve">č. ú.:                 </w:t>
      </w:r>
      <w:r>
        <w:tab/>
        <w:t>27-2000857329/0800</w:t>
      </w:r>
    </w:p>
    <w:p w14:paraId="4E9A1F0A" w14:textId="77777777" w:rsidR="001E25AC" w:rsidRDefault="001E25AC" w:rsidP="001E25AC">
      <w:pPr>
        <w:tabs>
          <w:tab w:val="left" w:pos="567"/>
          <w:tab w:val="left" w:pos="2410"/>
        </w:tabs>
        <w:rPr>
          <w:b/>
        </w:rPr>
      </w:pPr>
      <w:r>
        <w:tab/>
      </w:r>
      <w:r>
        <w:rPr>
          <w:i/>
        </w:rPr>
        <w:t xml:space="preserve">(dále jen </w:t>
      </w:r>
      <w:r>
        <w:rPr>
          <w:b/>
          <w:i/>
        </w:rPr>
        <w:t>„objednatel</w:t>
      </w:r>
      <w:r>
        <w:rPr>
          <w:i/>
        </w:rPr>
        <w:t xml:space="preserve">“, na straně jedné) </w:t>
      </w:r>
    </w:p>
    <w:p w14:paraId="09A5907D" w14:textId="77777777" w:rsidR="001E25AC" w:rsidRDefault="001E25AC" w:rsidP="001E25AC">
      <w:pPr>
        <w:rPr>
          <w:b/>
        </w:rPr>
      </w:pPr>
    </w:p>
    <w:p w14:paraId="2FA4B453" w14:textId="77777777" w:rsidR="001E25AC" w:rsidRPr="0023606B" w:rsidRDefault="001E25AC" w:rsidP="001E25AC">
      <w:pPr>
        <w:tabs>
          <w:tab w:val="left" w:pos="567"/>
          <w:tab w:val="left" w:pos="2410"/>
        </w:tabs>
        <w:spacing w:line="360" w:lineRule="auto"/>
        <w:rPr>
          <w:color w:val="000000"/>
          <w:highlight w:val="yellow"/>
        </w:rPr>
      </w:pPr>
      <w:r w:rsidRPr="0023606B">
        <w:rPr>
          <w:b/>
          <w:highlight w:val="yellow"/>
        </w:rPr>
        <w:t>1. 2.</w:t>
      </w:r>
      <w:r w:rsidRPr="0023606B">
        <w:rPr>
          <w:b/>
          <w:highlight w:val="yellow"/>
        </w:rPr>
        <w:tab/>
      </w:r>
      <w:r>
        <w:rPr>
          <w:b/>
          <w:color w:val="000000"/>
          <w:highlight w:val="yellow"/>
        </w:rPr>
        <w:t>Prodávající</w:t>
      </w:r>
      <w:r w:rsidRPr="0023606B">
        <w:rPr>
          <w:b/>
          <w:color w:val="000000"/>
          <w:highlight w:val="yellow"/>
        </w:rPr>
        <w:t xml:space="preserve">:  </w:t>
      </w:r>
      <w:r w:rsidRPr="0023606B">
        <w:rPr>
          <w:b/>
          <w:color w:val="000000"/>
          <w:highlight w:val="yellow"/>
        </w:rPr>
        <w:tab/>
      </w:r>
      <w:r w:rsidRPr="0023606B">
        <w:rPr>
          <w:color w:val="000000"/>
          <w:highlight w:val="yellow"/>
        </w:rPr>
        <w:tab/>
      </w:r>
    </w:p>
    <w:p w14:paraId="5CA68E5F" w14:textId="77777777" w:rsidR="001E25AC" w:rsidRPr="0023606B" w:rsidRDefault="001E25AC" w:rsidP="001E25AC">
      <w:pPr>
        <w:pStyle w:val="Zkladntext22"/>
        <w:tabs>
          <w:tab w:val="left" w:pos="567"/>
          <w:tab w:val="left" w:pos="2410"/>
        </w:tabs>
        <w:jc w:val="left"/>
        <w:rPr>
          <w:b w:val="0"/>
          <w:color w:val="000000"/>
          <w:highlight w:val="yellow"/>
        </w:rPr>
      </w:pPr>
      <w:r w:rsidRPr="0023606B">
        <w:rPr>
          <w:color w:val="000000"/>
          <w:highlight w:val="yellow"/>
        </w:rPr>
        <w:tab/>
      </w:r>
      <w:r w:rsidRPr="0023606B">
        <w:rPr>
          <w:b w:val="0"/>
          <w:color w:val="000000"/>
          <w:highlight w:val="yellow"/>
        </w:rPr>
        <w:t xml:space="preserve">se sídlem:    </w:t>
      </w:r>
      <w:r w:rsidRPr="0023606B">
        <w:rPr>
          <w:b w:val="0"/>
          <w:color w:val="000000"/>
          <w:highlight w:val="yellow"/>
        </w:rPr>
        <w:tab/>
      </w:r>
    </w:p>
    <w:p w14:paraId="7CB0B184" w14:textId="77777777" w:rsidR="001E25AC" w:rsidRPr="0023606B" w:rsidRDefault="001E25AC" w:rsidP="001E25AC">
      <w:pPr>
        <w:pStyle w:val="Zkladntext22"/>
        <w:tabs>
          <w:tab w:val="left" w:pos="567"/>
          <w:tab w:val="left" w:pos="2410"/>
        </w:tabs>
        <w:jc w:val="left"/>
        <w:rPr>
          <w:b w:val="0"/>
          <w:color w:val="000000"/>
          <w:highlight w:val="yellow"/>
        </w:rPr>
      </w:pPr>
      <w:r w:rsidRPr="0023606B">
        <w:rPr>
          <w:b w:val="0"/>
          <w:color w:val="000000"/>
          <w:highlight w:val="yellow"/>
        </w:rPr>
        <w:tab/>
      </w:r>
      <w:r w:rsidRPr="0023606B">
        <w:rPr>
          <w:b w:val="0"/>
          <w:color w:val="000000"/>
          <w:highlight w:val="yellow"/>
        </w:rPr>
        <w:tab/>
      </w:r>
      <w:r w:rsidRPr="0023606B">
        <w:rPr>
          <w:b w:val="0"/>
          <w:color w:val="000000"/>
          <w:highlight w:val="yellow"/>
        </w:rPr>
        <w:tab/>
      </w:r>
      <w:r w:rsidRPr="0023606B">
        <w:rPr>
          <w:b w:val="0"/>
          <w:color w:val="000000"/>
          <w:highlight w:val="yellow"/>
        </w:rPr>
        <w:tab/>
      </w:r>
    </w:p>
    <w:p w14:paraId="21972172" w14:textId="77777777" w:rsidR="001E25AC" w:rsidRPr="0023606B" w:rsidRDefault="001E25AC" w:rsidP="001E25AC">
      <w:pPr>
        <w:pStyle w:val="Zkladntext22"/>
        <w:tabs>
          <w:tab w:val="left" w:pos="567"/>
          <w:tab w:val="left" w:pos="2410"/>
        </w:tabs>
        <w:jc w:val="left"/>
        <w:rPr>
          <w:b w:val="0"/>
          <w:color w:val="000000"/>
          <w:highlight w:val="yellow"/>
        </w:rPr>
      </w:pPr>
      <w:r w:rsidRPr="0023606B">
        <w:rPr>
          <w:b w:val="0"/>
          <w:color w:val="000000"/>
          <w:highlight w:val="yellow"/>
        </w:rPr>
        <w:tab/>
        <w:t xml:space="preserve">zastoupená:  </w:t>
      </w:r>
      <w:r w:rsidRPr="0023606B">
        <w:rPr>
          <w:b w:val="0"/>
          <w:color w:val="000000"/>
          <w:highlight w:val="yellow"/>
        </w:rPr>
        <w:tab/>
      </w:r>
      <w:r w:rsidRPr="0023606B">
        <w:rPr>
          <w:b w:val="0"/>
          <w:color w:val="000000"/>
          <w:highlight w:val="yellow"/>
        </w:rPr>
        <w:tab/>
      </w:r>
    </w:p>
    <w:p w14:paraId="3DEADC12" w14:textId="77777777" w:rsidR="001E25AC" w:rsidRPr="0023606B" w:rsidRDefault="001E25AC" w:rsidP="001E25AC">
      <w:pPr>
        <w:pStyle w:val="Zkladntext22"/>
        <w:tabs>
          <w:tab w:val="left" w:pos="567"/>
          <w:tab w:val="left" w:pos="2410"/>
        </w:tabs>
        <w:jc w:val="left"/>
        <w:rPr>
          <w:color w:val="000000"/>
          <w:highlight w:val="yellow"/>
        </w:rPr>
      </w:pPr>
      <w:r w:rsidRPr="0023606B">
        <w:rPr>
          <w:b w:val="0"/>
          <w:color w:val="000000"/>
          <w:highlight w:val="yellow"/>
        </w:rPr>
        <w:tab/>
        <w:t>IČO:</w:t>
      </w:r>
      <w:r w:rsidRPr="0023606B">
        <w:rPr>
          <w:color w:val="000000"/>
          <w:highlight w:val="yellow"/>
        </w:rPr>
        <w:tab/>
      </w:r>
      <w:r w:rsidRPr="0023606B">
        <w:rPr>
          <w:color w:val="000000"/>
          <w:highlight w:val="yellow"/>
        </w:rPr>
        <w:tab/>
      </w:r>
    </w:p>
    <w:p w14:paraId="76096737" w14:textId="77777777" w:rsidR="001E25AC" w:rsidRPr="0023606B" w:rsidRDefault="001E25AC" w:rsidP="001E25AC">
      <w:pPr>
        <w:pStyle w:val="Zkladntext22"/>
        <w:tabs>
          <w:tab w:val="left" w:pos="567"/>
          <w:tab w:val="left" w:pos="2410"/>
        </w:tabs>
        <w:jc w:val="left"/>
        <w:rPr>
          <w:color w:val="000000"/>
          <w:highlight w:val="yellow"/>
        </w:rPr>
      </w:pPr>
      <w:r w:rsidRPr="0023606B">
        <w:rPr>
          <w:color w:val="000000"/>
          <w:highlight w:val="yellow"/>
        </w:rPr>
        <w:tab/>
      </w:r>
      <w:r w:rsidRPr="0023606B">
        <w:rPr>
          <w:b w:val="0"/>
          <w:color w:val="000000"/>
          <w:highlight w:val="yellow"/>
        </w:rPr>
        <w:t>DIČ:</w:t>
      </w:r>
      <w:r w:rsidRPr="0023606B">
        <w:rPr>
          <w:color w:val="000000"/>
          <w:highlight w:val="yellow"/>
        </w:rPr>
        <w:tab/>
      </w:r>
      <w:r w:rsidRPr="0023606B">
        <w:rPr>
          <w:color w:val="000000"/>
          <w:highlight w:val="yellow"/>
        </w:rPr>
        <w:tab/>
      </w:r>
    </w:p>
    <w:p w14:paraId="61C9B086" w14:textId="77777777" w:rsidR="001E25AC" w:rsidRPr="0023606B" w:rsidRDefault="001E25AC" w:rsidP="001E25AC">
      <w:pPr>
        <w:pStyle w:val="Zkladntext22"/>
        <w:tabs>
          <w:tab w:val="left" w:pos="567"/>
          <w:tab w:val="left" w:pos="2410"/>
        </w:tabs>
        <w:jc w:val="left"/>
        <w:rPr>
          <w:color w:val="000000"/>
          <w:highlight w:val="yellow"/>
        </w:rPr>
      </w:pPr>
      <w:r w:rsidRPr="0023606B">
        <w:rPr>
          <w:color w:val="000000"/>
          <w:highlight w:val="yellow"/>
        </w:rPr>
        <w:tab/>
      </w:r>
      <w:r w:rsidRPr="0023606B">
        <w:rPr>
          <w:b w:val="0"/>
          <w:color w:val="000000"/>
          <w:highlight w:val="yellow"/>
        </w:rPr>
        <w:t>bankovní spojení:</w:t>
      </w:r>
      <w:r w:rsidRPr="0023606B">
        <w:rPr>
          <w:b w:val="0"/>
          <w:color w:val="000000"/>
          <w:highlight w:val="yellow"/>
        </w:rPr>
        <w:tab/>
      </w:r>
      <w:r w:rsidRPr="0023606B">
        <w:rPr>
          <w:b w:val="0"/>
          <w:color w:val="000000"/>
          <w:highlight w:val="yellow"/>
        </w:rPr>
        <w:tab/>
      </w:r>
    </w:p>
    <w:p w14:paraId="1185F526" w14:textId="77777777" w:rsidR="001E25AC" w:rsidRPr="001E25AC" w:rsidRDefault="001E25AC" w:rsidP="001E25AC">
      <w:pPr>
        <w:pStyle w:val="Zkladntext22"/>
        <w:tabs>
          <w:tab w:val="left" w:pos="567"/>
          <w:tab w:val="left" w:pos="2410"/>
        </w:tabs>
        <w:jc w:val="left"/>
        <w:rPr>
          <w:b w:val="0"/>
          <w:color w:val="000000"/>
        </w:rPr>
      </w:pPr>
      <w:r w:rsidRPr="0023606B">
        <w:rPr>
          <w:color w:val="000000"/>
          <w:highlight w:val="yellow"/>
        </w:rPr>
        <w:tab/>
      </w:r>
      <w:r w:rsidRPr="0023606B">
        <w:rPr>
          <w:b w:val="0"/>
          <w:color w:val="000000"/>
          <w:highlight w:val="yellow"/>
        </w:rPr>
        <w:t>č. ú.:</w:t>
      </w:r>
      <w:r>
        <w:rPr>
          <w:b w:val="0"/>
          <w:color w:val="000000"/>
        </w:rPr>
        <w:tab/>
      </w:r>
      <w:r>
        <w:rPr>
          <w:b w:val="0"/>
          <w:color w:val="000000"/>
        </w:rPr>
        <w:tab/>
      </w:r>
      <w:r>
        <w:rPr>
          <w:b w:val="0"/>
          <w:color w:val="000000"/>
        </w:rPr>
        <w:tab/>
      </w:r>
    </w:p>
    <w:p w14:paraId="5B1A7EEE" w14:textId="77777777" w:rsidR="001E25AC" w:rsidRDefault="001E25AC" w:rsidP="001E25AC">
      <w:pPr>
        <w:pStyle w:val="Zkladntext22"/>
        <w:tabs>
          <w:tab w:val="left" w:pos="567"/>
          <w:tab w:val="left" w:pos="2410"/>
        </w:tabs>
        <w:jc w:val="left"/>
        <w:rPr>
          <w:i/>
          <w:color w:val="000000"/>
        </w:rPr>
      </w:pPr>
      <w:r>
        <w:rPr>
          <w:i/>
          <w:color w:val="000000"/>
        </w:rPr>
        <w:tab/>
      </w:r>
      <w:r>
        <w:rPr>
          <w:b w:val="0"/>
          <w:i/>
          <w:color w:val="000000"/>
        </w:rPr>
        <w:t>(dále jen</w:t>
      </w:r>
      <w:r>
        <w:rPr>
          <w:i/>
          <w:color w:val="000000"/>
        </w:rPr>
        <w:t xml:space="preserve"> „prodávající“</w:t>
      </w:r>
      <w:r>
        <w:rPr>
          <w:b w:val="0"/>
          <w:i/>
          <w:color w:val="000000"/>
        </w:rPr>
        <w:t xml:space="preserve"> na straně druhé)</w:t>
      </w:r>
    </w:p>
    <w:p w14:paraId="22845F48" w14:textId="77777777" w:rsidR="001E25AC" w:rsidRDefault="001E25AC" w:rsidP="001E25AC">
      <w:r>
        <w:tab/>
      </w:r>
    </w:p>
    <w:p w14:paraId="4B48196F" w14:textId="77777777" w:rsidR="001E25AC" w:rsidRDefault="001E25AC" w:rsidP="001E25AC">
      <w:pPr>
        <w:pStyle w:val="Zkladntext"/>
        <w:ind w:left="3686" w:hanging="2270"/>
        <w:jc w:val="left"/>
        <w:rPr>
          <w:color w:val="000000"/>
        </w:rPr>
      </w:pPr>
    </w:p>
    <w:p w14:paraId="28048DB8" w14:textId="77777777" w:rsidR="001E25AC" w:rsidRDefault="001E25AC" w:rsidP="001E25AC">
      <w:pPr>
        <w:pStyle w:val="Nadpis1"/>
        <w:numPr>
          <w:ilvl w:val="0"/>
          <w:numId w:val="1"/>
        </w:numPr>
        <w:spacing w:before="0"/>
        <w:jc w:val="center"/>
      </w:pPr>
      <w:r>
        <w:rPr>
          <w:rFonts w:ascii="Times New Roman" w:hAnsi="Times New Roman" w:cs="Times New Roman"/>
          <w:sz w:val="26"/>
          <w:szCs w:val="26"/>
        </w:rPr>
        <w:t>Účel</w:t>
      </w:r>
      <w:r w:rsidR="002B6D72">
        <w:rPr>
          <w:rFonts w:ascii="Times New Roman" w:hAnsi="Times New Roman" w:cs="Times New Roman"/>
          <w:sz w:val="26"/>
          <w:szCs w:val="26"/>
        </w:rPr>
        <w:t xml:space="preserve"> </w:t>
      </w:r>
      <w:r w:rsidR="001531B5">
        <w:rPr>
          <w:rFonts w:ascii="Times New Roman" w:hAnsi="Times New Roman" w:cs="Times New Roman"/>
          <w:sz w:val="26"/>
          <w:szCs w:val="26"/>
        </w:rPr>
        <w:t>dohody</w:t>
      </w:r>
    </w:p>
    <w:p w14:paraId="51BD8FE1" w14:textId="77777777" w:rsidR="001E25AC" w:rsidRDefault="001E25AC" w:rsidP="001E25AC">
      <w:pPr>
        <w:pStyle w:val="Seznam"/>
        <w:ind w:left="0" w:firstLine="0"/>
        <w:rPr>
          <w:b/>
        </w:rPr>
      </w:pPr>
    </w:p>
    <w:p w14:paraId="704581E1" w14:textId="178F3A28" w:rsidR="001E25AC" w:rsidRPr="005F3E14" w:rsidRDefault="001E25AC" w:rsidP="001C6202">
      <w:pPr>
        <w:pStyle w:val="mntNormln"/>
        <w:numPr>
          <w:ilvl w:val="1"/>
          <w:numId w:val="2"/>
        </w:numPr>
        <w:jc w:val="both"/>
        <w:rPr>
          <w:rFonts w:ascii="Times New Roman" w:hAnsi="Times New Roman" w:cs="Times New Roman"/>
          <w:szCs w:val="24"/>
        </w:rPr>
      </w:pPr>
      <w:r w:rsidRPr="005F3E14">
        <w:rPr>
          <w:rFonts w:ascii="Times New Roman" w:hAnsi="Times New Roman" w:cs="Times New Roman"/>
          <w:szCs w:val="24"/>
        </w:rPr>
        <w:t xml:space="preserve">Tato </w:t>
      </w:r>
      <w:r w:rsidR="001531B5" w:rsidRPr="005F3E14">
        <w:rPr>
          <w:rFonts w:ascii="Times New Roman" w:hAnsi="Times New Roman" w:cs="Times New Roman"/>
          <w:szCs w:val="24"/>
        </w:rPr>
        <w:t>dohoda</w:t>
      </w:r>
      <w:r w:rsidRPr="005F3E14">
        <w:rPr>
          <w:rFonts w:ascii="Times New Roman" w:hAnsi="Times New Roman" w:cs="Times New Roman"/>
          <w:szCs w:val="24"/>
        </w:rPr>
        <w:t xml:space="preserve"> se uzavírá na základě výsledků </w:t>
      </w:r>
      <w:r w:rsidR="001C6202" w:rsidRPr="005F3E14">
        <w:rPr>
          <w:rFonts w:ascii="Times New Roman" w:hAnsi="Times New Roman" w:cs="Times New Roman"/>
          <w:szCs w:val="24"/>
        </w:rPr>
        <w:t xml:space="preserve">zjednodušeného podlimitního </w:t>
      </w:r>
      <w:r w:rsidRPr="005F3E14">
        <w:rPr>
          <w:rFonts w:ascii="Times New Roman" w:hAnsi="Times New Roman" w:cs="Times New Roman"/>
          <w:szCs w:val="24"/>
        </w:rPr>
        <w:t xml:space="preserve">řízení na </w:t>
      </w:r>
      <w:r w:rsidR="001C6202" w:rsidRPr="005F3E14">
        <w:rPr>
          <w:rFonts w:ascii="Times New Roman" w:hAnsi="Times New Roman" w:cs="Times New Roman"/>
          <w:szCs w:val="24"/>
        </w:rPr>
        <w:t xml:space="preserve">dodávky </w:t>
      </w:r>
      <w:r w:rsidRPr="005F3E14">
        <w:rPr>
          <w:rFonts w:ascii="Times New Roman" w:hAnsi="Times New Roman" w:cs="Times New Roman"/>
          <w:szCs w:val="24"/>
        </w:rPr>
        <w:t xml:space="preserve">vyhlašované za podmínek a v souladu se </w:t>
      </w:r>
      <w:r w:rsidR="001C6202" w:rsidRPr="005F3E14">
        <w:rPr>
          <w:rFonts w:ascii="Times New Roman" w:hAnsi="Times New Roman" w:cs="Times New Roman"/>
          <w:szCs w:val="24"/>
        </w:rPr>
        <w:t xml:space="preserve">zákonem </w:t>
      </w:r>
      <w:r w:rsidRPr="005F3E14">
        <w:rPr>
          <w:rFonts w:ascii="Times New Roman" w:hAnsi="Times New Roman" w:cs="Times New Roman"/>
          <w:szCs w:val="24"/>
        </w:rPr>
        <w:t>č. 134/2016 Sb., o zadávání veřejných zakázek, ve znění pozdějších předpisů</w:t>
      </w:r>
      <w:r w:rsidR="001C6202" w:rsidRPr="005F3E14">
        <w:rPr>
          <w:rFonts w:ascii="Times New Roman" w:hAnsi="Times New Roman" w:cs="Times New Roman"/>
          <w:szCs w:val="24"/>
        </w:rPr>
        <w:t>,</w:t>
      </w:r>
      <w:r w:rsidRPr="005F3E14">
        <w:rPr>
          <w:rFonts w:ascii="Times New Roman" w:hAnsi="Times New Roman" w:cs="Times New Roman"/>
          <w:szCs w:val="24"/>
        </w:rPr>
        <w:t xml:space="preserve"> s názvem „</w:t>
      </w:r>
      <w:r w:rsidR="001C6202" w:rsidRPr="005F3E14">
        <w:rPr>
          <w:rFonts w:ascii="Times New Roman" w:hAnsi="Times New Roman" w:cs="Times New Roman"/>
          <w:b/>
          <w:szCs w:val="24"/>
        </w:rPr>
        <w:t>Dodání kancelářských a hygienických potřeb pro ÚMČ Praha 5</w:t>
      </w:r>
      <w:r w:rsidRPr="005F3E14">
        <w:rPr>
          <w:rFonts w:ascii="Times New Roman" w:hAnsi="Times New Roman" w:cs="Times New Roman"/>
          <w:b/>
          <w:color w:val="auto"/>
          <w:szCs w:val="24"/>
        </w:rPr>
        <w:t>“</w:t>
      </w:r>
      <w:r w:rsidRPr="005F3E14">
        <w:rPr>
          <w:rFonts w:ascii="Times New Roman" w:hAnsi="Times New Roman" w:cs="Times New Roman"/>
          <w:szCs w:val="24"/>
        </w:rPr>
        <w:t>.</w:t>
      </w:r>
    </w:p>
    <w:p w14:paraId="35947818" w14:textId="77777777" w:rsidR="001E25AC" w:rsidRDefault="001E25AC" w:rsidP="009E2E79">
      <w:pPr>
        <w:pStyle w:val="mntNormln"/>
        <w:numPr>
          <w:ilvl w:val="1"/>
          <w:numId w:val="2"/>
        </w:numPr>
        <w:ind w:left="426" w:hanging="426"/>
        <w:jc w:val="both"/>
        <w:rPr>
          <w:rFonts w:ascii="Times New Roman" w:hAnsi="Times New Roman" w:cs="Times New Roman"/>
          <w:szCs w:val="24"/>
        </w:rPr>
      </w:pPr>
      <w:r>
        <w:rPr>
          <w:rFonts w:ascii="Times New Roman" w:hAnsi="Times New Roman" w:cs="Times New Roman"/>
          <w:szCs w:val="24"/>
        </w:rPr>
        <w:t xml:space="preserve">Podkladem pro uzavření této </w:t>
      </w:r>
      <w:r w:rsidR="001531B5">
        <w:rPr>
          <w:rFonts w:ascii="Times New Roman" w:hAnsi="Times New Roman" w:cs="Times New Roman"/>
          <w:szCs w:val="24"/>
        </w:rPr>
        <w:t>dohody</w:t>
      </w:r>
      <w:r>
        <w:rPr>
          <w:rFonts w:ascii="Times New Roman" w:hAnsi="Times New Roman" w:cs="Times New Roman"/>
          <w:szCs w:val="24"/>
        </w:rPr>
        <w:t xml:space="preserve"> o poskytování služeb je nabídka zhotovitele ze </w:t>
      </w:r>
      <w:r w:rsidRPr="0023606B">
        <w:rPr>
          <w:rFonts w:ascii="Times New Roman" w:hAnsi="Times New Roman" w:cs="Times New Roman"/>
          <w:szCs w:val="24"/>
          <w:highlight w:val="yellow"/>
        </w:rPr>
        <w:t>dne ……………</w:t>
      </w:r>
      <w:r>
        <w:rPr>
          <w:rFonts w:ascii="Times New Roman" w:hAnsi="Times New Roman" w:cs="Times New Roman"/>
          <w:szCs w:val="24"/>
        </w:rPr>
        <w:t>, která byla na základě zadávacího řízení vybrána jako nejvýhodnější.</w:t>
      </w:r>
    </w:p>
    <w:p w14:paraId="1BD0052A" w14:textId="77777777" w:rsidR="001E25AC" w:rsidRDefault="001E25AC" w:rsidP="009E2E79">
      <w:pPr>
        <w:pStyle w:val="mntNormln"/>
        <w:ind w:left="426" w:hanging="426"/>
        <w:jc w:val="both"/>
        <w:rPr>
          <w:rFonts w:ascii="Times New Roman" w:hAnsi="Times New Roman" w:cs="Times New Roman"/>
          <w:szCs w:val="24"/>
        </w:rPr>
      </w:pPr>
    </w:p>
    <w:p w14:paraId="1662EAEF" w14:textId="77777777" w:rsidR="001E25AC" w:rsidRDefault="001E25AC" w:rsidP="001E25AC">
      <w:pPr>
        <w:pStyle w:val="Nadpis1"/>
        <w:numPr>
          <w:ilvl w:val="0"/>
          <w:numId w:val="1"/>
        </w:numPr>
        <w:jc w:val="center"/>
      </w:pPr>
      <w:r>
        <w:rPr>
          <w:rFonts w:ascii="Times New Roman" w:hAnsi="Times New Roman" w:cs="Times New Roman"/>
          <w:sz w:val="26"/>
          <w:szCs w:val="26"/>
        </w:rPr>
        <w:t xml:space="preserve">Specifikace předmětu díla </w:t>
      </w:r>
    </w:p>
    <w:p w14:paraId="6BDBA205" w14:textId="77777777" w:rsidR="001E25AC" w:rsidRDefault="001E25AC" w:rsidP="001E25AC">
      <w:pPr>
        <w:pStyle w:val="Seznam"/>
        <w:ind w:left="0" w:firstLine="0"/>
      </w:pPr>
    </w:p>
    <w:p w14:paraId="63E399CB" w14:textId="08A47086" w:rsidR="001E25AC" w:rsidRDefault="001E25AC" w:rsidP="001E25AC">
      <w:pPr>
        <w:numPr>
          <w:ilvl w:val="1"/>
          <w:numId w:val="4"/>
        </w:numPr>
        <w:autoSpaceDE w:val="0"/>
        <w:ind w:left="709" w:hanging="709"/>
        <w:jc w:val="both"/>
      </w:pPr>
      <w:r>
        <w:t xml:space="preserve">Prodávající se zavazuje, že bude kupujícímu v době, na níž se tato dohoda uzavírá a na základě dílčích objednávek, dodávat zboží specifikované druhově a v jednotkových cenách uvedených v příloze č. 1, která je nedílnou součástí této </w:t>
      </w:r>
      <w:r w:rsidR="006B46B5" w:rsidRPr="005F3E14">
        <w:t>dohody</w:t>
      </w:r>
      <w:r w:rsidRPr="005F3E14">
        <w:t xml:space="preserve"> a sortimentu nad </w:t>
      </w:r>
      <w:r w:rsidRPr="005F3E14">
        <w:lastRenderedPageBreak/>
        <w:t>rámec zboží uvedeného v příloze č. 1 této dohody. Kupující se zavazuje</w:t>
      </w:r>
      <w:r>
        <w:t xml:space="preserve">, že zboží odebere a zaplatí za něj cenu stanovenou v článku </w:t>
      </w:r>
      <w:r w:rsidR="006B46B5">
        <w:t>6</w:t>
      </w:r>
      <w:r>
        <w:t xml:space="preserve"> této </w:t>
      </w:r>
      <w:r w:rsidR="006B46B5">
        <w:t>dohody</w:t>
      </w:r>
      <w:r>
        <w:t xml:space="preserve">. Prodávající se zavazuje převést na kupujícího vlastnické právo k předmětu této </w:t>
      </w:r>
      <w:r w:rsidR="006B46B5">
        <w:t>dohody</w:t>
      </w:r>
      <w:r>
        <w:t xml:space="preserve">. </w:t>
      </w:r>
    </w:p>
    <w:p w14:paraId="2D8FE3E1" w14:textId="77777777" w:rsidR="00525B17" w:rsidRDefault="00525B17" w:rsidP="00525B17">
      <w:pPr>
        <w:autoSpaceDE w:val="0"/>
        <w:ind w:left="709"/>
        <w:jc w:val="both"/>
      </w:pPr>
    </w:p>
    <w:p w14:paraId="0425EE22" w14:textId="77777777" w:rsidR="001E25AC" w:rsidRDefault="001E25AC" w:rsidP="001E25AC">
      <w:pPr>
        <w:pStyle w:val="Nadpis1"/>
        <w:numPr>
          <w:ilvl w:val="0"/>
          <w:numId w:val="1"/>
        </w:numPr>
        <w:jc w:val="center"/>
        <w:rPr>
          <w:rFonts w:ascii="Times New Roman" w:hAnsi="Times New Roman" w:cs="Times New Roman"/>
          <w:sz w:val="26"/>
          <w:szCs w:val="26"/>
        </w:rPr>
      </w:pPr>
      <w:r>
        <w:rPr>
          <w:rFonts w:ascii="Times New Roman" w:hAnsi="Times New Roman" w:cs="Times New Roman"/>
          <w:sz w:val="26"/>
          <w:szCs w:val="26"/>
        </w:rPr>
        <w:t>Doba plnění</w:t>
      </w:r>
    </w:p>
    <w:p w14:paraId="3E2D3517" w14:textId="77777777" w:rsidR="001E25AC" w:rsidRDefault="001E25AC" w:rsidP="001E25AC"/>
    <w:p w14:paraId="675A89AC" w14:textId="77777777" w:rsidR="001E25AC" w:rsidRDefault="001E25AC" w:rsidP="001E25AC">
      <w:pPr>
        <w:numPr>
          <w:ilvl w:val="1"/>
          <w:numId w:val="3"/>
        </w:numPr>
        <w:rPr>
          <w:bCs/>
          <w:color w:val="000000"/>
        </w:rPr>
      </w:pPr>
      <w:r>
        <w:rPr>
          <w:bCs/>
          <w:color w:val="000000"/>
        </w:rPr>
        <w:t xml:space="preserve">Tato dohoda se uzavírá na dobu určitou, a to </w:t>
      </w:r>
      <w:r w:rsidRPr="00F733C1">
        <w:rPr>
          <w:bCs/>
          <w:color w:val="000000"/>
        </w:rPr>
        <w:t xml:space="preserve">od </w:t>
      </w:r>
      <w:r w:rsidR="00F733C1" w:rsidRPr="00F733C1">
        <w:rPr>
          <w:bCs/>
          <w:color w:val="000000"/>
        </w:rPr>
        <w:t>01.01.2018</w:t>
      </w:r>
      <w:r w:rsidRPr="00F733C1">
        <w:rPr>
          <w:bCs/>
          <w:color w:val="000000"/>
        </w:rPr>
        <w:t xml:space="preserve"> do </w:t>
      </w:r>
      <w:r w:rsidR="00F733C1">
        <w:rPr>
          <w:bCs/>
          <w:color w:val="000000"/>
        </w:rPr>
        <w:t>31.12.2019.</w:t>
      </w:r>
      <w:r w:rsidR="001C6202">
        <w:rPr>
          <w:rStyle w:val="Znakapoznpodarou"/>
          <w:bCs/>
          <w:color w:val="000000"/>
        </w:rPr>
        <w:footnoteReference w:id="1"/>
      </w:r>
    </w:p>
    <w:p w14:paraId="17606EEB" w14:textId="59B23B88" w:rsidR="00525B17" w:rsidRDefault="00525B17" w:rsidP="00525B17">
      <w:pPr>
        <w:numPr>
          <w:ilvl w:val="1"/>
          <w:numId w:val="3"/>
        </w:numPr>
        <w:ind w:left="709" w:hanging="709"/>
        <w:jc w:val="both"/>
        <w:rPr>
          <w:bCs/>
          <w:color w:val="FF0000"/>
        </w:rPr>
      </w:pPr>
      <w:r>
        <w:rPr>
          <w:bCs/>
          <w:color w:val="000000"/>
        </w:rPr>
        <w:t xml:space="preserve">Prodávající </w:t>
      </w:r>
      <w:r w:rsidR="00F00C9F">
        <w:rPr>
          <w:bCs/>
          <w:color w:val="000000"/>
        </w:rPr>
        <w:t xml:space="preserve">se zavazuje doručit zboží </w:t>
      </w:r>
      <w:r>
        <w:rPr>
          <w:bCs/>
          <w:color w:val="000000"/>
        </w:rPr>
        <w:t>dle dílčích objednávek s pevný</w:t>
      </w:r>
      <w:r w:rsidR="00F00C9F">
        <w:rPr>
          <w:bCs/>
          <w:color w:val="000000"/>
        </w:rPr>
        <w:t xml:space="preserve">m termínem přijetí dodavatelem, </w:t>
      </w:r>
      <w:r>
        <w:rPr>
          <w:bCs/>
          <w:color w:val="000000"/>
        </w:rPr>
        <w:t xml:space="preserve">do </w:t>
      </w:r>
      <w:r w:rsidR="001C6202" w:rsidRPr="005F3E14">
        <w:rPr>
          <w:bCs/>
          <w:color w:val="000000"/>
          <w:highlight w:val="yellow"/>
        </w:rPr>
        <w:t>DOPLNÍ DODAVATEL</w:t>
      </w:r>
      <w:r w:rsidR="001C6202">
        <w:rPr>
          <w:bCs/>
          <w:color w:val="000000"/>
        </w:rPr>
        <w:t xml:space="preserve"> </w:t>
      </w:r>
      <w:r w:rsidR="00F00C9F">
        <w:rPr>
          <w:bCs/>
          <w:color w:val="000000"/>
        </w:rPr>
        <w:t xml:space="preserve">pracovních </w:t>
      </w:r>
      <w:r w:rsidR="002B6D72">
        <w:rPr>
          <w:bCs/>
          <w:color w:val="000000"/>
        </w:rPr>
        <w:t xml:space="preserve">dnů prostřednictvím </w:t>
      </w:r>
      <w:r>
        <w:rPr>
          <w:bCs/>
          <w:color w:val="000000"/>
        </w:rPr>
        <w:t>internetového objednávkového systému</w:t>
      </w:r>
      <w:r w:rsidR="002B6D72">
        <w:rPr>
          <w:bCs/>
          <w:color w:val="000000"/>
        </w:rPr>
        <w:t>.</w:t>
      </w:r>
      <w:r>
        <w:rPr>
          <w:bCs/>
          <w:color w:val="000000"/>
        </w:rPr>
        <w:t xml:space="preserve"> </w:t>
      </w:r>
    </w:p>
    <w:p w14:paraId="698BE245" w14:textId="40319B38" w:rsidR="00525B17" w:rsidRDefault="00525B17" w:rsidP="00525B17">
      <w:pPr>
        <w:numPr>
          <w:ilvl w:val="1"/>
          <w:numId w:val="3"/>
        </w:numPr>
        <w:ind w:left="709" w:hanging="709"/>
        <w:jc w:val="both"/>
        <w:rPr>
          <w:bCs/>
          <w:color w:val="FF0000"/>
        </w:rPr>
      </w:pPr>
      <w:r w:rsidRPr="00525B17">
        <w:rPr>
          <w:bCs/>
          <w:color w:val="000000"/>
        </w:rPr>
        <w:t>V případě objednávek označených jako urgentní se prodávající zavazuje dodat zboží do 24 hodin od doručení závazné urgentní objednávky.</w:t>
      </w:r>
    </w:p>
    <w:p w14:paraId="3674540C" w14:textId="77777777" w:rsidR="00525B17" w:rsidRDefault="00525B17" w:rsidP="00525B17">
      <w:pPr>
        <w:numPr>
          <w:ilvl w:val="1"/>
          <w:numId w:val="3"/>
        </w:numPr>
        <w:ind w:left="709" w:hanging="709"/>
        <w:jc w:val="both"/>
        <w:rPr>
          <w:bCs/>
          <w:color w:val="FF0000"/>
        </w:rPr>
      </w:pPr>
      <w:r w:rsidRPr="00525B17">
        <w:rPr>
          <w:bCs/>
          <w:color w:val="000000"/>
        </w:rPr>
        <w:t xml:space="preserve">Pokud není dohodnuto jinak, zboží se dodává pouze na základě dílčí objednávky kupujícího. Objednávka se činí na základě stanoveného elektronického způsobu objednávání plnění prostřednictvím veřejné internetové sítě s individuálním zabezpečeným přístupem uživatele, schvalovacím procesem (bez omezení stupňů schvalování) a zastupitelností v pozici schvalovatele. </w:t>
      </w:r>
    </w:p>
    <w:p w14:paraId="27C9282D" w14:textId="77777777" w:rsidR="00525B17" w:rsidRDefault="00525B17" w:rsidP="00525B17">
      <w:pPr>
        <w:numPr>
          <w:ilvl w:val="1"/>
          <w:numId w:val="3"/>
        </w:numPr>
        <w:ind w:left="709" w:hanging="709"/>
        <w:jc w:val="both"/>
        <w:rPr>
          <w:bCs/>
          <w:color w:val="FF0000"/>
        </w:rPr>
      </w:pPr>
      <w:r w:rsidRPr="00525B17">
        <w:rPr>
          <w:bCs/>
          <w:color w:val="000000"/>
        </w:rPr>
        <w:t>V individuálních případech lze urgentní objednávku učinit také písemnou formou, faxem, nebo zaslání scanové kopie formou emailu.</w:t>
      </w:r>
    </w:p>
    <w:p w14:paraId="6B171BB0" w14:textId="77777777" w:rsidR="001E25AC" w:rsidRPr="00525B17" w:rsidRDefault="00525B17" w:rsidP="00525B17">
      <w:pPr>
        <w:numPr>
          <w:ilvl w:val="1"/>
          <w:numId w:val="3"/>
        </w:numPr>
        <w:ind w:left="709" w:hanging="709"/>
        <w:jc w:val="both"/>
        <w:rPr>
          <w:bCs/>
          <w:color w:val="FF0000"/>
        </w:rPr>
      </w:pPr>
      <w:r w:rsidRPr="00525B17">
        <w:rPr>
          <w:rFonts w:eastAsia="Calibri"/>
        </w:rPr>
        <w:t>Dodávky zboží se budou uskutečňovat do místa plnění specifikovaného v článku 5 této dohody a předány vedoucím odborů nebo jejich sekretariátům.</w:t>
      </w:r>
    </w:p>
    <w:p w14:paraId="708E2ADE" w14:textId="77777777" w:rsidR="001E25AC" w:rsidRDefault="001E25AC" w:rsidP="001E25AC"/>
    <w:p w14:paraId="190F7146" w14:textId="77777777" w:rsidR="001E25AC" w:rsidRDefault="00525B17" w:rsidP="001E25AC">
      <w:pPr>
        <w:pStyle w:val="Nadpis1"/>
        <w:numPr>
          <w:ilvl w:val="0"/>
          <w:numId w:val="1"/>
        </w:numPr>
        <w:jc w:val="center"/>
      </w:pPr>
      <w:r>
        <w:rPr>
          <w:rFonts w:ascii="Times New Roman" w:hAnsi="Times New Roman" w:cs="Times New Roman"/>
          <w:sz w:val="26"/>
          <w:szCs w:val="26"/>
        </w:rPr>
        <w:t>Místo plnění</w:t>
      </w:r>
    </w:p>
    <w:p w14:paraId="00795031" w14:textId="77777777" w:rsidR="001E25AC" w:rsidRDefault="001E25AC" w:rsidP="001E25AC"/>
    <w:p w14:paraId="49061F66" w14:textId="77777777" w:rsidR="001E25AC" w:rsidRPr="00525B17" w:rsidRDefault="00525B17" w:rsidP="00525B17">
      <w:pPr>
        <w:numPr>
          <w:ilvl w:val="1"/>
          <w:numId w:val="11"/>
        </w:numPr>
        <w:suppressAutoHyphens w:val="0"/>
        <w:autoSpaceDE w:val="0"/>
        <w:autoSpaceDN w:val="0"/>
        <w:adjustRightInd w:val="0"/>
        <w:ind w:left="709" w:hanging="709"/>
        <w:jc w:val="both"/>
        <w:rPr>
          <w:rFonts w:eastAsia="Calibri"/>
        </w:rPr>
      </w:pPr>
      <w:r>
        <w:rPr>
          <w:bCs/>
          <w:color w:val="000000"/>
        </w:rPr>
        <w:t>Místem plnění jsou jednotlivá pracoviště Úřadu městské části Praha 5 na adresách:</w:t>
      </w:r>
    </w:p>
    <w:p w14:paraId="0AEF5D5B" w14:textId="77777777" w:rsidR="00525B17" w:rsidRDefault="00525B17" w:rsidP="00525B17">
      <w:pPr>
        <w:suppressAutoHyphens w:val="0"/>
        <w:autoSpaceDE w:val="0"/>
        <w:autoSpaceDN w:val="0"/>
        <w:adjustRightInd w:val="0"/>
        <w:ind w:left="709"/>
        <w:jc w:val="both"/>
        <w:rPr>
          <w:rFonts w:eastAsia="Calibri"/>
        </w:rPr>
      </w:pPr>
    </w:p>
    <w:p w14:paraId="1BDD2E13" w14:textId="77777777" w:rsidR="00525B17" w:rsidRPr="00525B17" w:rsidRDefault="00525B17" w:rsidP="00525B17">
      <w:pPr>
        <w:pStyle w:val="Odstavecseseznamem"/>
        <w:numPr>
          <w:ilvl w:val="0"/>
          <w:numId w:val="18"/>
        </w:numPr>
        <w:suppressAutoHyphens w:val="0"/>
        <w:autoSpaceDE w:val="0"/>
        <w:autoSpaceDN w:val="0"/>
        <w:adjustRightInd w:val="0"/>
        <w:jc w:val="both"/>
        <w:rPr>
          <w:rFonts w:eastAsia="Calibri"/>
          <w:sz w:val="24"/>
        </w:rPr>
      </w:pPr>
      <w:r w:rsidRPr="00525B17">
        <w:rPr>
          <w:rFonts w:eastAsia="Calibri"/>
          <w:sz w:val="24"/>
        </w:rPr>
        <w:t>Nám. 14. října 1381/4, Praha 5</w:t>
      </w:r>
    </w:p>
    <w:p w14:paraId="0F3D435B" w14:textId="77777777" w:rsidR="00525B17" w:rsidRPr="00525B17" w:rsidRDefault="00525B17" w:rsidP="00525B17">
      <w:pPr>
        <w:pStyle w:val="Odstavecseseznamem"/>
        <w:numPr>
          <w:ilvl w:val="0"/>
          <w:numId w:val="18"/>
        </w:numPr>
        <w:suppressAutoHyphens w:val="0"/>
        <w:autoSpaceDE w:val="0"/>
        <w:autoSpaceDN w:val="0"/>
        <w:adjustRightInd w:val="0"/>
        <w:jc w:val="both"/>
        <w:rPr>
          <w:rFonts w:eastAsia="Calibri"/>
          <w:sz w:val="24"/>
        </w:rPr>
      </w:pPr>
      <w:r w:rsidRPr="00525B17">
        <w:rPr>
          <w:rFonts w:eastAsia="Calibri"/>
          <w:sz w:val="24"/>
        </w:rPr>
        <w:t>Štefánikova 236/13, 246/15, Praha 5</w:t>
      </w:r>
    </w:p>
    <w:p w14:paraId="3C4DB33B" w14:textId="77777777" w:rsidR="00525B17" w:rsidRDefault="00525B17" w:rsidP="00525B17">
      <w:pPr>
        <w:pStyle w:val="Odstavecseseznamem"/>
        <w:numPr>
          <w:ilvl w:val="0"/>
          <w:numId w:val="18"/>
        </w:numPr>
        <w:suppressAutoHyphens w:val="0"/>
        <w:autoSpaceDE w:val="0"/>
        <w:autoSpaceDN w:val="0"/>
        <w:adjustRightInd w:val="0"/>
        <w:jc w:val="both"/>
        <w:rPr>
          <w:rFonts w:eastAsia="Calibri"/>
          <w:sz w:val="24"/>
        </w:rPr>
      </w:pPr>
      <w:r w:rsidRPr="00525B17">
        <w:rPr>
          <w:rFonts w:eastAsia="Calibri"/>
          <w:sz w:val="24"/>
        </w:rPr>
        <w:t>Krškova 807/21, Praha 5</w:t>
      </w:r>
    </w:p>
    <w:p w14:paraId="0BE1A89E" w14:textId="77777777" w:rsidR="00F733C1" w:rsidRDefault="00F733C1" w:rsidP="00525B17">
      <w:pPr>
        <w:pStyle w:val="Odstavecseseznamem"/>
        <w:numPr>
          <w:ilvl w:val="0"/>
          <w:numId w:val="18"/>
        </w:numPr>
        <w:suppressAutoHyphens w:val="0"/>
        <w:autoSpaceDE w:val="0"/>
        <w:autoSpaceDN w:val="0"/>
        <w:adjustRightInd w:val="0"/>
        <w:jc w:val="both"/>
        <w:rPr>
          <w:rFonts w:eastAsia="Calibri"/>
          <w:sz w:val="24"/>
        </w:rPr>
      </w:pPr>
      <w:r>
        <w:rPr>
          <w:rFonts w:eastAsia="Calibri"/>
          <w:sz w:val="24"/>
        </w:rPr>
        <w:t>Preslova 2213/5 Praha 5</w:t>
      </w:r>
    </w:p>
    <w:p w14:paraId="6B0E6221" w14:textId="77777777" w:rsidR="00525B17" w:rsidRPr="00525B17" w:rsidRDefault="00525B17" w:rsidP="00525B17">
      <w:pPr>
        <w:pStyle w:val="Odstavecseseznamem"/>
        <w:suppressAutoHyphens w:val="0"/>
        <w:autoSpaceDE w:val="0"/>
        <w:autoSpaceDN w:val="0"/>
        <w:adjustRightInd w:val="0"/>
        <w:ind w:left="1429"/>
        <w:jc w:val="both"/>
        <w:rPr>
          <w:rFonts w:eastAsia="Calibri"/>
          <w:sz w:val="24"/>
        </w:rPr>
      </w:pPr>
    </w:p>
    <w:p w14:paraId="21D776B0" w14:textId="77777777" w:rsidR="001E25AC" w:rsidRPr="00631D0D" w:rsidRDefault="00525B17" w:rsidP="001E25AC">
      <w:pPr>
        <w:pStyle w:val="Nadpis1"/>
        <w:numPr>
          <w:ilvl w:val="0"/>
          <w:numId w:val="1"/>
        </w:numPr>
        <w:tabs>
          <w:tab w:val="clear" w:pos="0"/>
        </w:tabs>
        <w:jc w:val="center"/>
      </w:pPr>
      <w:r>
        <w:rPr>
          <w:rFonts w:ascii="Times New Roman" w:eastAsia="Calibri" w:hAnsi="Times New Roman"/>
          <w:sz w:val="26"/>
          <w:szCs w:val="26"/>
        </w:rPr>
        <w:t>Cena a způsob úhrady</w:t>
      </w:r>
    </w:p>
    <w:p w14:paraId="61F10A96" w14:textId="77777777" w:rsidR="001E25AC" w:rsidRPr="00152893" w:rsidRDefault="001E25AC" w:rsidP="001E25AC">
      <w:pPr>
        <w:rPr>
          <w:rFonts w:eastAsia="Calibri"/>
        </w:rPr>
      </w:pPr>
    </w:p>
    <w:p w14:paraId="773015B9" w14:textId="77777777" w:rsidR="006B46B5" w:rsidRPr="005F3E14" w:rsidRDefault="006B46B5" w:rsidP="001E25AC">
      <w:pPr>
        <w:numPr>
          <w:ilvl w:val="1"/>
          <w:numId w:val="13"/>
        </w:numPr>
        <w:suppressAutoHyphens w:val="0"/>
        <w:autoSpaceDE w:val="0"/>
        <w:autoSpaceDN w:val="0"/>
        <w:adjustRightInd w:val="0"/>
        <w:jc w:val="both"/>
        <w:rPr>
          <w:rFonts w:eastAsia="Calibri"/>
        </w:rPr>
      </w:pPr>
      <w:r w:rsidRPr="006B46B5">
        <w:rPr>
          <w:rFonts w:eastAsia="Calibri"/>
        </w:rPr>
        <w:t xml:space="preserve">Jednotková cena zboží je stanovena dohodou smluvních stran podle zákona č. 526/1990 Sb. o cenách ve znění pozdějších předpisů a je uvedena bez DPH v příloze č. 1, která je nedílnou součástí této dohody. </w:t>
      </w:r>
      <w:r w:rsidRPr="005F3E14">
        <w:rPr>
          <w:rFonts w:eastAsia="Calibri"/>
        </w:rPr>
        <w:t xml:space="preserve">V případě požadavku nad rámec sortimentu uvedeného v příloze č. 1 této dohody předloží prodávající cenovou nabídku formou aktuálního ceníku prodávajícího. </w:t>
      </w:r>
    </w:p>
    <w:p w14:paraId="0ABE565E" w14:textId="77777777" w:rsidR="001E25AC" w:rsidRPr="006B46B5" w:rsidRDefault="006B46B5" w:rsidP="001E25AC">
      <w:pPr>
        <w:numPr>
          <w:ilvl w:val="1"/>
          <w:numId w:val="13"/>
        </w:numPr>
        <w:suppressAutoHyphens w:val="0"/>
        <w:autoSpaceDE w:val="0"/>
        <w:autoSpaceDN w:val="0"/>
        <w:adjustRightInd w:val="0"/>
        <w:jc w:val="both"/>
        <w:rPr>
          <w:rFonts w:eastAsia="Calibri"/>
        </w:rPr>
      </w:pPr>
      <w:r>
        <w:rPr>
          <w:rFonts w:eastAsia="Calibri"/>
        </w:rPr>
        <w:lastRenderedPageBreak/>
        <w:t xml:space="preserve">Na základě vystavených objednávek a vedoucím odboru nebo jeho sekretariátem, potvrzených dodacích listů, které jsou nedílnou součástí daňového dokladu, vystaví prodávající, vždy k 1. dni následujícího měsíce po měsíci, za který kupujícímu vznikne nárok na finanční plnění za dodané zboží, daňový doklad (fakturu) se splatností 30 dnů ode dne jejího prokazatelného doručení kupujícímu. Zaplacením faktury se rozumí dání příkazu k její úhradě. </w:t>
      </w:r>
    </w:p>
    <w:p w14:paraId="430406E0" w14:textId="77777777" w:rsidR="001E25AC" w:rsidRDefault="006B46B5" w:rsidP="001E25AC">
      <w:pPr>
        <w:numPr>
          <w:ilvl w:val="1"/>
          <w:numId w:val="13"/>
        </w:numPr>
        <w:suppressAutoHyphens w:val="0"/>
        <w:autoSpaceDE w:val="0"/>
        <w:autoSpaceDN w:val="0"/>
        <w:adjustRightInd w:val="0"/>
        <w:jc w:val="both"/>
        <w:rPr>
          <w:rFonts w:eastAsia="Calibri"/>
        </w:rPr>
      </w:pPr>
      <w:r>
        <w:rPr>
          <w:rFonts w:eastAsia="Calibri"/>
        </w:rPr>
        <w:t xml:space="preserve">Prodávající se podpisem na této </w:t>
      </w:r>
      <w:r w:rsidR="001531B5">
        <w:rPr>
          <w:rFonts w:eastAsia="Calibri"/>
        </w:rPr>
        <w:t>dohodě</w:t>
      </w:r>
      <w:r>
        <w:rPr>
          <w:rFonts w:eastAsia="Calibri"/>
        </w:rPr>
        <w:t xml:space="preserve"> zavazuje, že po dobu trvání této dohody nebude vůči kupujícímu zvyšovat ceny jím dodávaného zboží bez předchozího písemného schválení kupujícím. Kupní cena se řídí ceníkem dovozců, výrobců, a aktuální sazbou DPH. </w:t>
      </w:r>
    </w:p>
    <w:p w14:paraId="0C889818" w14:textId="77777777" w:rsidR="001E25AC" w:rsidRPr="00291AAE" w:rsidRDefault="006B46B5" w:rsidP="001E25AC">
      <w:pPr>
        <w:numPr>
          <w:ilvl w:val="1"/>
          <w:numId w:val="13"/>
        </w:numPr>
        <w:suppressAutoHyphens w:val="0"/>
        <w:autoSpaceDE w:val="0"/>
        <w:autoSpaceDN w:val="0"/>
        <w:adjustRightInd w:val="0"/>
        <w:jc w:val="both"/>
      </w:pPr>
      <w:r>
        <w:rPr>
          <w:rFonts w:eastAsia="Calibri"/>
        </w:rPr>
        <w:t xml:space="preserve">Celková cena všech dílčích plnění dle </w:t>
      </w:r>
      <w:r w:rsidR="00F733C1">
        <w:rPr>
          <w:rFonts w:eastAsia="Calibri"/>
        </w:rPr>
        <w:t>té</w:t>
      </w:r>
      <w:r w:rsidR="00A40F8D">
        <w:rPr>
          <w:rFonts w:eastAsia="Calibri"/>
        </w:rPr>
        <w:t>to dohody nepřesáhne hodnotu 3.3</w:t>
      </w:r>
      <w:r w:rsidR="00F733C1">
        <w:rPr>
          <w:rFonts w:eastAsia="Calibri"/>
        </w:rPr>
        <w:t>0</w:t>
      </w:r>
      <w:r>
        <w:rPr>
          <w:rFonts w:eastAsia="Calibri"/>
        </w:rPr>
        <w:t>0.000,- Kč bez DPH</w:t>
      </w:r>
      <w:r w:rsidR="001E25AC" w:rsidRPr="00291AAE">
        <w:rPr>
          <w:rFonts w:eastAsia="Calibri"/>
        </w:rPr>
        <w:t>.</w:t>
      </w:r>
    </w:p>
    <w:p w14:paraId="6F3F8697" w14:textId="77777777" w:rsidR="001E25AC" w:rsidRDefault="001E25AC" w:rsidP="001E25AC">
      <w:pPr>
        <w:jc w:val="both"/>
      </w:pPr>
    </w:p>
    <w:p w14:paraId="731B3FB2" w14:textId="77777777" w:rsidR="001E25AC" w:rsidRPr="006B46B5" w:rsidRDefault="001E25AC" w:rsidP="001E25AC">
      <w:pPr>
        <w:pStyle w:val="Nadpis1"/>
        <w:numPr>
          <w:ilvl w:val="0"/>
          <w:numId w:val="0"/>
        </w:numPr>
        <w:suppressAutoHyphens w:val="0"/>
        <w:ind w:left="360"/>
        <w:jc w:val="center"/>
        <w:rPr>
          <w:rFonts w:ascii="Times New Roman" w:eastAsia="Calibri" w:hAnsi="Times New Roman"/>
          <w:sz w:val="26"/>
          <w:szCs w:val="26"/>
        </w:rPr>
      </w:pPr>
      <w:r>
        <w:rPr>
          <w:rFonts w:ascii="Times New Roman" w:eastAsia="Calibri" w:hAnsi="Times New Roman"/>
          <w:sz w:val="26"/>
          <w:szCs w:val="26"/>
        </w:rPr>
        <w:t xml:space="preserve">7. </w:t>
      </w:r>
      <w:r w:rsidR="006B46B5">
        <w:rPr>
          <w:rFonts w:ascii="Times New Roman" w:eastAsia="Calibri" w:hAnsi="Times New Roman"/>
          <w:sz w:val="26"/>
          <w:szCs w:val="26"/>
        </w:rPr>
        <w:t>Záruka za jakost</w:t>
      </w:r>
    </w:p>
    <w:p w14:paraId="77677EC8" w14:textId="77777777" w:rsidR="001E25AC" w:rsidRPr="00291AAE" w:rsidRDefault="001E25AC" w:rsidP="001E25AC">
      <w:pPr>
        <w:jc w:val="both"/>
        <w:rPr>
          <w:rFonts w:eastAsia="Calibri"/>
        </w:rPr>
      </w:pPr>
    </w:p>
    <w:p w14:paraId="5877A6E1" w14:textId="77777777" w:rsidR="001E25AC" w:rsidRDefault="006B46B5" w:rsidP="006B46B5">
      <w:pPr>
        <w:numPr>
          <w:ilvl w:val="1"/>
          <w:numId w:val="14"/>
        </w:numPr>
        <w:suppressAutoHyphens w:val="0"/>
        <w:autoSpaceDE w:val="0"/>
        <w:autoSpaceDN w:val="0"/>
        <w:adjustRightInd w:val="0"/>
        <w:ind w:left="709" w:hanging="709"/>
        <w:jc w:val="both"/>
        <w:rPr>
          <w:rFonts w:eastAsia="Calibri"/>
        </w:rPr>
      </w:pPr>
      <w:r>
        <w:rPr>
          <w:rFonts w:eastAsia="Calibri"/>
        </w:rPr>
        <w:t xml:space="preserve">Prodávající poskytuje kupujícímu záruku na dodané zboží v délce záruční doby poskytnuté výrobcem, tj. 24 měsíců ode dne jeho převzetí uvedeného na dodacím listu, pokud není stanoveno jinak. </w:t>
      </w:r>
    </w:p>
    <w:p w14:paraId="0149F90F" w14:textId="77777777" w:rsidR="001E25AC" w:rsidRPr="00291AAE" w:rsidRDefault="001E25AC" w:rsidP="001E25AC"/>
    <w:p w14:paraId="0DE45678" w14:textId="77777777" w:rsidR="001E25AC" w:rsidRPr="006B46B5" w:rsidRDefault="001E25AC" w:rsidP="001E25AC">
      <w:pPr>
        <w:pStyle w:val="Nadpis1"/>
        <w:numPr>
          <w:ilvl w:val="0"/>
          <w:numId w:val="0"/>
        </w:numPr>
        <w:suppressAutoHyphens w:val="0"/>
        <w:ind w:left="360"/>
        <w:jc w:val="center"/>
        <w:rPr>
          <w:rFonts w:ascii="Times New Roman" w:eastAsia="Calibri" w:hAnsi="Times New Roman"/>
          <w:sz w:val="26"/>
          <w:szCs w:val="26"/>
        </w:rPr>
      </w:pPr>
      <w:r>
        <w:rPr>
          <w:rFonts w:ascii="Times New Roman" w:eastAsia="Calibri" w:hAnsi="Times New Roman"/>
          <w:sz w:val="26"/>
          <w:szCs w:val="26"/>
        </w:rPr>
        <w:t xml:space="preserve">8. </w:t>
      </w:r>
      <w:r w:rsidR="006B46B5">
        <w:rPr>
          <w:rFonts w:ascii="Times New Roman" w:eastAsia="Calibri" w:hAnsi="Times New Roman"/>
          <w:sz w:val="26"/>
          <w:szCs w:val="26"/>
        </w:rPr>
        <w:t>Ostatní ujednání</w:t>
      </w:r>
    </w:p>
    <w:p w14:paraId="0BD5FEE8" w14:textId="77777777" w:rsidR="001E25AC" w:rsidRPr="007061E7" w:rsidRDefault="001E25AC" w:rsidP="001E25AC">
      <w:pPr>
        <w:rPr>
          <w:rFonts w:eastAsia="Calibri"/>
        </w:rPr>
      </w:pPr>
    </w:p>
    <w:p w14:paraId="2BA0C9EF" w14:textId="77777777" w:rsidR="001E25AC" w:rsidRPr="00962FF8" w:rsidRDefault="001E25AC" w:rsidP="001E25AC">
      <w:pPr>
        <w:pStyle w:val="Odstavecseseznamem"/>
        <w:numPr>
          <w:ilvl w:val="0"/>
          <w:numId w:val="15"/>
        </w:numPr>
        <w:suppressAutoHyphens w:val="0"/>
        <w:autoSpaceDE w:val="0"/>
        <w:autoSpaceDN w:val="0"/>
        <w:adjustRightInd w:val="0"/>
        <w:spacing w:line="240" w:lineRule="auto"/>
        <w:jc w:val="both"/>
        <w:rPr>
          <w:rFonts w:eastAsia="Calibri"/>
          <w:vanish/>
          <w:color w:val="FFFFFF"/>
          <w:sz w:val="8"/>
          <w:szCs w:val="24"/>
        </w:rPr>
      </w:pPr>
    </w:p>
    <w:p w14:paraId="526FA822" w14:textId="77777777" w:rsidR="001E25AC" w:rsidRPr="00962FF8" w:rsidRDefault="001E25AC" w:rsidP="001E25AC">
      <w:pPr>
        <w:pStyle w:val="Odstavecseseznamem"/>
        <w:numPr>
          <w:ilvl w:val="0"/>
          <w:numId w:val="15"/>
        </w:numPr>
        <w:suppressAutoHyphens w:val="0"/>
        <w:autoSpaceDE w:val="0"/>
        <w:autoSpaceDN w:val="0"/>
        <w:adjustRightInd w:val="0"/>
        <w:spacing w:line="240" w:lineRule="auto"/>
        <w:jc w:val="both"/>
        <w:rPr>
          <w:rFonts w:eastAsia="Calibri"/>
          <w:vanish/>
          <w:color w:val="FFFFFF"/>
          <w:sz w:val="8"/>
          <w:szCs w:val="24"/>
        </w:rPr>
      </w:pPr>
    </w:p>
    <w:p w14:paraId="2091FB6E" w14:textId="77777777" w:rsidR="001E25AC" w:rsidRDefault="006B46B5" w:rsidP="001E25AC">
      <w:pPr>
        <w:numPr>
          <w:ilvl w:val="1"/>
          <w:numId w:val="15"/>
        </w:numPr>
        <w:suppressAutoHyphens w:val="0"/>
        <w:autoSpaceDE w:val="0"/>
        <w:autoSpaceDN w:val="0"/>
        <w:adjustRightInd w:val="0"/>
        <w:ind w:left="709" w:hanging="709"/>
        <w:jc w:val="both"/>
        <w:rPr>
          <w:rFonts w:eastAsia="Calibri"/>
        </w:rPr>
      </w:pPr>
      <w:r>
        <w:rPr>
          <w:rFonts w:eastAsia="Calibri"/>
        </w:rPr>
        <w:t>Vlastnictví ke zboží a nebezpečí náhodné zkázy nebo škody na zboží nese kupující od okamžiku jeho převzetí od prodávajícího.</w:t>
      </w:r>
    </w:p>
    <w:p w14:paraId="1B67694E" w14:textId="77777777" w:rsidR="001E25AC" w:rsidRPr="00B24C0A" w:rsidRDefault="006B46B5" w:rsidP="001E25AC">
      <w:pPr>
        <w:numPr>
          <w:ilvl w:val="1"/>
          <w:numId w:val="15"/>
        </w:numPr>
        <w:suppressAutoHyphens w:val="0"/>
        <w:autoSpaceDE w:val="0"/>
        <w:autoSpaceDN w:val="0"/>
        <w:adjustRightInd w:val="0"/>
        <w:ind w:left="709" w:hanging="709"/>
        <w:jc w:val="both"/>
        <w:rPr>
          <w:rFonts w:eastAsia="Calibri"/>
        </w:rPr>
      </w:pPr>
      <w:r w:rsidRPr="00B24C0A">
        <w:rPr>
          <w:rFonts w:eastAsia="Calibri"/>
        </w:rPr>
        <w:t xml:space="preserve">Převzetím se pro účely této dohody rozumí dodání zboží prodávajícím do místa plnění a jeho převzetí vedoucím odboru nebo jeho sekretariátem dle článku </w:t>
      </w:r>
      <w:r w:rsidR="00B24C0A" w:rsidRPr="00B24C0A">
        <w:rPr>
          <w:rFonts w:eastAsia="Calibri"/>
        </w:rPr>
        <w:t xml:space="preserve">5 této dohody. </w:t>
      </w:r>
    </w:p>
    <w:p w14:paraId="693F8D9B" w14:textId="48322C85" w:rsidR="001E25AC" w:rsidRDefault="00B24C0A" w:rsidP="001E25AC">
      <w:pPr>
        <w:numPr>
          <w:ilvl w:val="1"/>
          <w:numId w:val="15"/>
        </w:numPr>
        <w:suppressAutoHyphens w:val="0"/>
        <w:autoSpaceDE w:val="0"/>
        <w:autoSpaceDN w:val="0"/>
        <w:adjustRightInd w:val="0"/>
        <w:ind w:left="709" w:hanging="709"/>
        <w:jc w:val="both"/>
        <w:rPr>
          <w:rFonts w:eastAsia="Calibri"/>
        </w:rPr>
      </w:pPr>
      <w:r>
        <w:rPr>
          <w:rFonts w:eastAsia="Calibri"/>
        </w:rPr>
        <w:t>Odpovědnost za vady zboží se řídí</w:t>
      </w:r>
      <w:r w:rsidR="00DF01B4">
        <w:rPr>
          <w:rFonts w:eastAsia="Calibri"/>
        </w:rPr>
        <w:t xml:space="preserve"> příslušnými</w:t>
      </w:r>
      <w:r>
        <w:rPr>
          <w:rFonts w:eastAsia="Calibri"/>
        </w:rPr>
        <w:t xml:space="preserve"> ustanovením</w:t>
      </w:r>
      <w:r w:rsidR="00DF01B4">
        <w:rPr>
          <w:rFonts w:eastAsia="Calibri"/>
        </w:rPr>
        <w:t>i</w:t>
      </w:r>
      <w:r>
        <w:rPr>
          <w:rFonts w:eastAsia="Calibri"/>
        </w:rPr>
        <w:t xml:space="preserve"> občanského zákoníku ve znění pozdějších předpisů. </w:t>
      </w:r>
    </w:p>
    <w:p w14:paraId="46285CF5" w14:textId="77777777" w:rsidR="00B24C0A" w:rsidRDefault="00B24C0A" w:rsidP="001E25AC">
      <w:pPr>
        <w:numPr>
          <w:ilvl w:val="1"/>
          <w:numId w:val="15"/>
        </w:numPr>
        <w:suppressAutoHyphens w:val="0"/>
        <w:autoSpaceDE w:val="0"/>
        <w:autoSpaceDN w:val="0"/>
        <w:adjustRightInd w:val="0"/>
        <w:ind w:left="709" w:hanging="709"/>
        <w:jc w:val="both"/>
        <w:rPr>
          <w:rFonts w:eastAsia="Calibri"/>
        </w:rPr>
      </w:pPr>
      <w:r w:rsidRPr="00B24C0A">
        <w:rPr>
          <w:rFonts w:eastAsia="Calibri"/>
        </w:rPr>
        <w:t xml:space="preserve">V případě nesplnění povinností prodávajícího vyplývajících z článku 4, odst. 4.2. této dohody je prodávající povinen zaplatit kupujícímu poplatek z prodlení ve výši 0,5% z ceny dílčí objednávky za každý i započatý den prodlení. </w:t>
      </w:r>
    </w:p>
    <w:p w14:paraId="41334EDA" w14:textId="1740F83C" w:rsidR="008A4313" w:rsidRDefault="008A4313" w:rsidP="005F3E14">
      <w:pPr>
        <w:numPr>
          <w:ilvl w:val="1"/>
          <w:numId w:val="15"/>
        </w:numPr>
        <w:suppressAutoHyphens w:val="0"/>
        <w:autoSpaceDE w:val="0"/>
        <w:autoSpaceDN w:val="0"/>
        <w:adjustRightInd w:val="0"/>
        <w:ind w:left="709" w:hanging="709"/>
        <w:jc w:val="both"/>
        <w:rPr>
          <w:rFonts w:eastAsia="Calibri"/>
        </w:rPr>
      </w:pPr>
      <w:r>
        <w:rPr>
          <w:rFonts w:eastAsia="Calibri"/>
        </w:rPr>
        <w:t xml:space="preserve">V případě, že dojde k </w:t>
      </w:r>
      <w:r w:rsidRPr="008A4313">
        <w:rPr>
          <w:rFonts w:eastAsia="Calibri"/>
        </w:rPr>
        <w:t>prohlášení insolvence</w:t>
      </w:r>
      <w:r>
        <w:rPr>
          <w:rFonts w:eastAsia="Calibri"/>
        </w:rPr>
        <w:t xml:space="preserve"> u prodávajícího</w:t>
      </w:r>
      <w:r w:rsidRPr="008A4313">
        <w:rPr>
          <w:rFonts w:eastAsia="Calibri"/>
        </w:rPr>
        <w:t xml:space="preserve"> či naplnění důvodů pro odstoupení od smlouvy ze strany </w:t>
      </w:r>
      <w:r>
        <w:rPr>
          <w:rFonts w:eastAsia="Calibri"/>
        </w:rPr>
        <w:t>kupujícího</w:t>
      </w:r>
      <w:r w:rsidRPr="008A4313">
        <w:rPr>
          <w:rFonts w:eastAsia="Calibri"/>
        </w:rPr>
        <w:t xml:space="preserve"> z důvodu jejího po</w:t>
      </w:r>
      <w:r>
        <w:rPr>
          <w:rFonts w:eastAsia="Calibri"/>
        </w:rPr>
        <w:t xml:space="preserve">dstatného porušení prodávajícím nebo </w:t>
      </w:r>
      <w:r w:rsidRPr="008A4313">
        <w:rPr>
          <w:rFonts w:eastAsia="Calibri"/>
        </w:rPr>
        <w:t>zánik</w:t>
      </w:r>
      <w:r>
        <w:rPr>
          <w:rFonts w:eastAsia="Calibri"/>
        </w:rPr>
        <w:t>u</w:t>
      </w:r>
      <w:r w:rsidRPr="008A4313">
        <w:rPr>
          <w:rFonts w:eastAsia="Calibri"/>
        </w:rPr>
        <w:t xml:space="preserve"> </w:t>
      </w:r>
      <w:r>
        <w:rPr>
          <w:rFonts w:eastAsia="Calibri"/>
        </w:rPr>
        <w:t>prodávajícího</w:t>
      </w:r>
      <w:r w:rsidRPr="008A4313">
        <w:rPr>
          <w:rFonts w:eastAsia="Calibri"/>
        </w:rPr>
        <w:t xml:space="preserve"> bez právního nástupce</w:t>
      </w:r>
      <w:r>
        <w:rPr>
          <w:rFonts w:eastAsia="Calibri"/>
        </w:rPr>
        <w:t>, má právo kupujícího uzavřít rámcovou dohodu v tomto znění s účastníkem zadávacího řízení, který se umístil za prodávajícím.</w:t>
      </w:r>
    </w:p>
    <w:p w14:paraId="15830131" w14:textId="77777777" w:rsidR="00B24C0A" w:rsidRDefault="00B24C0A" w:rsidP="00B24C0A">
      <w:pPr>
        <w:pStyle w:val="Nadpis1"/>
        <w:numPr>
          <w:ilvl w:val="0"/>
          <w:numId w:val="0"/>
        </w:numPr>
        <w:suppressAutoHyphens w:val="0"/>
        <w:rPr>
          <w:rFonts w:ascii="Times New Roman" w:hAnsi="Times New Roman"/>
          <w:sz w:val="26"/>
          <w:szCs w:val="26"/>
        </w:rPr>
      </w:pPr>
    </w:p>
    <w:p w14:paraId="5DD174A3" w14:textId="77777777" w:rsidR="001E25AC" w:rsidRDefault="001E25AC" w:rsidP="001E25AC">
      <w:pPr>
        <w:pStyle w:val="Nadpis1"/>
        <w:numPr>
          <w:ilvl w:val="0"/>
          <w:numId w:val="15"/>
        </w:numPr>
        <w:suppressAutoHyphens w:val="0"/>
        <w:ind w:left="0" w:firstLine="0"/>
        <w:jc w:val="center"/>
        <w:rPr>
          <w:rFonts w:ascii="Times New Roman" w:hAnsi="Times New Roman"/>
          <w:sz w:val="26"/>
          <w:szCs w:val="26"/>
        </w:rPr>
      </w:pPr>
      <w:r w:rsidRPr="00D17C01">
        <w:rPr>
          <w:rFonts w:ascii="Times New Roman" w:hAnsi="Times New Roman"/>
          <w:sz w:val="26"/>
          <w:szCs w:val="26"/>
        </w:rPr>
        <w:t>Zá</w:t>
      </w:r>
      <w:r w:rsidR="00B24C0A">
        <w:rPr>
          <w:rFonts w:ascii="Times New Roman" w:hAnsi="Times New Roman"/>
          <w:sz w:val="26"/>
          <w:szCs w:val="26"/>
        </w:rPr>
        <w:t>věrečná ustanovení</w:t>
      </w:r>
    </w:p>
    <w:p w14:paraId="47748820" w14:textId="77777777" w:rsidR="001E25AC" w:rsidRPr="00D17C01" w:rsidRDefault="001E25AC" w:rsidP="001E25AC"/>
    <w:p w14:paraId="5C971794" w14:textId="77777777" w:rsidR="001E25AC" w:rsidRDefault="00B24C0A" w:rsidP="001E25AC">
      <w:pPr>
        <w:numPr>
          <w:ilvl w:val="1"/>
          <w:numId w:val="15"/>
        </w:numPr>
        <w:suppressAutoHyphens w:val="0"/>
        <w:ind w:left="709" w:hanging="709"/>
        <w:jc w:val="both"/>
      </w:pPr>
      <w:r>
        <w:t xml:space="preserve">Tato </w:t>
      </w:r>
      <w:r w:rsidR="001531B5">
        <w:t>dohoda</w:t>
      </w:r>
      <w:r>
        <w:t xml:space="preserve"> může být vypovězena kteroukoliv ze smluvních stran i bez udání důvodu.</w:t>
      </w:r>
    </w:p>
    <w:p w14:paraId="2B706E72" w14:textId="77777777" w:rsidR="001E25AC" w:rsidRDefault="00B24C0A" w:rsidP="001E25AC">
      <w:pPr>
        <w:numPr>
          <w:ilvl w:val="1"/>
          <w:numId w:val="15"/>
        </w:numPr>
        <w:suppressAutoHyphens w:val="0"/>
        <w:ind w:left="709" w:hanging="709"/>
        <w:jc w:val="both"/>
      </w:pPr>
      <w:r>
        <w:t xml:space="preserve">Výpovědní lhůta je tříměsíční a začíná běžet prvního dne měsíce následujícího po dni doručení písemné výpovědi druhé smluvní straně. </w:t>
      </w:r>
    </w:p>
    <w:p w14:paraId="1349D18D" w14:textId="77777777" w:rsidR="001E25AC" w:rsidRDefault="00B24C0A" w:rsidP="001E25AC">
      <w:pPr>
        <w:numPr>
          <w:ilvl w:val="1"/>
          <w:numId w:val="15"/>
        </w:numPr>
        <w:suppressAutoHyphens w:val="0"/>
        <w:ind w:left="709" w:hanging="709"/>
        <w:jc w:val="both"/>
      </w:pPr>
      <w:r>
        <w:t xml:space="preserve">Tato </w:t>
      </w:r>
      <w:r w:rsidR="001531B5">
        <w:t>dohoda</w:t>
      </w:r>
      <w:r>
        <w:t xml:space="preserve"> mlže být měněna pouze dohodou smluvních stran ve formě písemného dodatku.</w:t>
      </w:r>
    </w:p>
    <w:p w14:paraId="11F8C24D" w14:textId="77777777" w:rsidR="00B24C0A" w:rsidRDefault="00B24C0A" w:rsidP="001E25AC">
      <w:pPr>
        <w:numPr>
          <w:ilvl w:val="1"/>
          <w:numId w:val="15"/>
        </w:numPr>
        <w:suppressAutoHyphens w:val="0"/>
        <w:ind w:left="709" w:hanging="709"/>
        <w:jc w:val="both"/>
      </w:pPr>
      <w:r>
        <w:lastRenderedPageBreak/>
        <w:t>Osoby oprávněné jednat:</w:t>
      </w:r>
    </w:p>
    <w:p w14:paraId="0F42C0AB" w14:textId="77777777" w:rsidR="00B24C0A" w:rsidRDefault="00B24C0A" w:rsidP="00B24C0A">
      <w:pPr>
        <w:suppressAutoHyphens w:val="0"/>
        <w:ind w:left="709"/>
        <w:jc w:val="both"/>
      </w:pPr>
    </w:p>
    <w:p w14:paraId="0EE6188C" w14:textId="77777777" w:rsidR="00B24C0A" w:rsidRPr="00B24C0A" w:rsidRDefault="00B24C0A" w:rsidP="00B24C0A">
      <w:pPr>
        <w:pStyle w:val="Odstavecseseznamem"/>
        <w:numPr>
          <w:ilvl w:val="0"/>
          <w:numId w:val="19"/>
        </w:numPr>
        <w:suppressAutoHyphens w:val="0"/>
        <w:spacing w:line="240" w:lineRule="auto"/>
        <w:ind w:hanging="357"/>
        <w:contextualSpacing/>
        <w:jc w:val="both"/>
        <w:rPr>
          <w:sz w:val="24"/>
        </w:rPr>
      </w:pPr>
      <w:r>
        <w:rPr>
          <w:sz w:val="24"/>
        </w:rPr>
        <w:t>v</w:t>
      </w:r>
      <w:r w:rsidRPr="00B24C0A">
        <w:rPr>
          <w:sz w:val="24"/>
        </w:rPr>
        <w:t>e věcech podpisu této dohody:</w:t>
      </w:r>
    </w:p>
    <w:p w14:paraId="2C485DB8" w14:textId="77777777" w:rsidR="00B24C0A" w:rsidRPr="00B24C0A" w:rsidRDefault="00B24C0A" w:rsidP="00B24C0A">
      <w:pPr>
        <w:pStyle w:val="Odstavecseseznamem"/>
        <w:numPr>
          <w:ilvl w:val="1"/>
          <w:numId w:val="19"/>
        </w:numPr>
        <w:suppressAutoHyphens w:val="0"/>
        <w:spacing w:line="240" w:lineRule="auto"/>
        <w:ind w:hanging="357"/>
        <w:contextualSpacing/>
        <w:jc w:val="both"/>
        <w:rPr>
          <w:sz w:val="24"/>
        </w:rPr>
      </w:pPr>
      <w:r>
        <w:rPr>
          <w:sz w:val="24"/>
        </w:rPr>
        <w:t>z</w:t>
      </w:r>
      <w:r w:rsidRPr="00B24C0A">
        <w:rPr>
          <w:sz w:val="24"/>
        </w:rPr>
        <w:t>a kupujícího: starosta Městské části Praha 5, Ing. Pavel Richter</w:t>
      </w:r>
    </w:p>
    <w:p w14:paraId="6F4031C9" w14:textId="77777777" w:rsidR="00B24C0A" w:rsidRDefault="00B24C0A" w:rsidP="00F733C1">
      <w:pPr>
        <w:pStyle w:val="Odstavecseseznamem"/>
        <w:numPr>
          <w:ilvl w:val="1"/>
          <w:numId w:val="19"/>
        </w:numPr>
        <w:suppressAutoHyphens w:val="0"/>
        <w:spacing w:line="240" w:lineRule="auto"/>
        <w:ind w:hanging="357"/>
        <w:contextualSpacing/>
        <w:jc w:val="both"/>
        <w:rPr>
          <w:sz w:val="24"/>
        </w:rPr>
      </w:pPr>
      <w:r>
        <w:rPr>
          <w:sz w:val="24"/>
        </w:rPr>
        <w:t>z</w:t>
      </w:r>
      <w:r w:rsidRPr="00B24C0A">
        <w:rPr>
          <w:sz w:val="24"/>
        </w:rPr>
        <w:t xml:space="preserve">a prodávajícího: </w:t>
      </w:r>
      <w:r w:rsidR="00F733C1" w:rsidRPr="00F733C1">
        <w:rPr>
          <w:sz w:val="24"/>
          <w:highlight w:val="yellow"/>
        </w:rPr>
        <w:t>……………….</w:t>
      </w:r>
    </w:p>
    <w:p w14:paraId="0CC2D2F9" w14:textId="77777777" w:rsidR="00F733C1" w:rsidRPr="00F733C1" w:rsidRDefault="00F733C1" w:rsidP="00F733C1">
      <w:pPr>
        <w:suppressAutoHyphens w:val="0"/>
        <w:contextualSpacing/>
        <w:jc w:val="both"/>
      </w:pPr>
    </w:p>
    <w:p w14:paraId="2924641D" w14:textId="77777777" w:rsidR="00F733C1" w:rsidRDefault="00B24C0A" w:rsidP="00B24C0A">
      <w:pPr>
        <w:pStyle w:val="Odstavecseseznamem"/>
        <w:numPr>
          <w:ilvl w:val="0"/>
          <w:numId w:val="19"/>
        </w:numPr>
        <w:suppressAutoHyphens w:val="0"/>
        <w:spacing w:line="240" w:lineRule="auto"/>
        <w:ind w:hanging="357"/>
        <w:contextualSpacing/>
        <w:jc w:val="both"/>
        <w:rPr>
          <w:sz w:val="24"/>
        </w:rPr>
      </w:pPr>
      <w:r w:rsidRPr="00B24C0A">
        <w:rPr>
          <w:sz w:val="24"/>
        </w:rPr>
        <w:t>ve věcech plnění ustanovení této dohody</w:t>
      </w:r>
      <w:r w:rsidR="00F733C1">
        <w:rPr>
          <w:sz w:val="24"/>
        </w:rPr>
        <w:t>:</w:t>
      </w:r>
    </w:p>
    <w:p w14:paraId="74217536" w14:textId="77777777" w:rsidR="00B24C0A" w:rsidRPr="00F733C1" w:rsidRDefault="00B24C0A" w:rsidP="00F733C1">
      <w:pPr>
        <w:pStyle w:val="Odstavecseseznamem"/>
        <w:numPr>
          <w:ilvl w:val="1"/>
          <w:numId w:val="19"/>
        </w:numPr>
        <w:suppressAutoHyphens w:val="0"/>
        <w:spacing w:line="240" w:lineRule="auto"/>
        <w:ind w:hanging="357"/>
        <w:contextualSpacing/>
        <w:jc w:val="both"/>
        <w:rPr>
          <w:sz w:val="24"/>
          <w:highlight w:val="yellow"/>
        </w:rPr>
      </w:pPr>
      <w:r w:rsidRPr="00F733C1">
        <w:rPr>
          <w:sz w:val="24"/>
          <w:highlight w:val="yellow"/>
        </w:rPr>
        <w:t>za prodávajícího:</w:t>
      </w:r>
      <w:r w:rsidR="00F733C1" w:rsidRPr="00F733C1">
        <w:rPr>
          <w:sz w:val="24"/>
          <w:highlight w:val="yellow"/>
        </w:rPr>
        <w:t xml:space="preserve"> Mgr.</w:t>
      </w:r>
      <w:r w:rsidR="00207F3F">
        <w:rPr>
          <w:sz w:val="24"/>
          <w:highlight w:val="yellow"/>
        </w:rPr>
        <w:t xml:space="preserve"> Pavel Radovan Viglaský, MPA, </w:t>
      </w:r>
    </w:p>
    <w:p w14:paraId="429AA02A" w14:textId="77777777" w:rsidR="00B24C0A" w:rsidRPr="004C57D1" w:rsidRDefault="00F733C1" w:rsidP="004C57D1">
      <w:pPr>
        <w:pStyle w:val="Odstavecseseznamem"/>
        <w:numPr>
          <w:ilvl w:val="1"/>
          <w:numId w:val="19"/>
        </w:numPr>
        <w:suppressAutoHyphens w:val="0"/>
        <w:spacing w:line="240" w:lineRule="auto"/>
        <w:ind w:hanging="357"/>
        <w:contextualSpacing/>
        <w:jc w:val="both"/>
        <w:rPr>
          <w:sz w:val="24"/>
          <w:highlight w:val="yellow"/>
        </w:rPr>
      </w:pPr>
      <w:r w:rsidRPr="00F733C1">
        <w:rPr>
          <w:sz w:val="24"/>
          <w:highlight w:val="yellow"/>
        </w:rPr>
        <w:t>za prodávajícího:</w:t>
      </w:r>
      <w:r w:rsidR="00B24C0A" w:rsidRPr="004C57D1">
        <w:rPr>
          <w:sz w:val="24"/>
          <w:highlight w:val="yellow"/>
        </w:rPr>
        <w:t>…………….</w:t>
      </w:r>
    </w:p>
    <w:p w14:paraId="40FF355D" w14:textId="77777777" w:rsidR="00B24C0A" w:rsidRPr="00B24C0A" w:rsidRDefault="00B24C0A" w:rsidP="00B24C0A">
      <w:pPr>
        <w:pStyle w:val="Odstavecseseznamem"/>
        <w:suppressAutoHyphens w:val="0"/>
        <w:spacing w:line="240" w:lineRule="auto"/>
        <w:ind w:left="1429"/>
        <w:contextualSpacing/>
        <w:jc w:val="both"/>
        <w:rPr>
          <w:sz w:val="24"/>
        </w:rPr>
      </w:pPr>
    </w:p>
    <w:p w14:paraId="19AEFCEA" w14:textId="77777777" w:rsidR="001531B5" w:rsidRDefault="00B24C0A" w:rsidP="001531B5">
      <w:pPr>
        <w:numPr>
          <w:ilvl w:val="1"/>
          <w:numId w:val="15"/>
        </w:numPr>
        <w:suppressAutoHyphens w:val="0"/>
        <w:ind w:left="851" w:hanging="851"/>
        <w:jc w:val="both"/>
      </w:pPr>
      <w:r w:rsidRPr="001531B5">
        <w:t xml:space="preserve">Tato </w:t>
      </w:r>
      <w:r w:rsidR="001531B5">
        <w:t xml:space="preserve">dohoda </w:t>
      </w:r>
      <w:r w:rsidR="001531B5" w:rsidRPr="001531B5">
        <w:t xml:space="preserve">se uzavírá v pěti (5) vyhotoveních s platností originálu, z nichž čtyři (4) vyhotovení obdrží </w:t>
      </w:r>
      <w:r w:rsidR="001531B5">
        <w:t>kupující</w:t>
      </w:r>
      <w:r w:rsidR="001531B5" w:rsidRPr="001531B5">
        <w:t xml:space="preserve"> a jedno (1) vyhotovení obdrží </w:t>
      </w:r>
      <w:r w:rsidR="001531B5">
        <w:t>prodávající</w:t>
      </w:r>
      <w:r w:rsidR="001531B5" w:rsidRPr="001531B5">
        <w:t>.</w:t>
      </w:r>
    </w:p>
    <w:p w14:paraId="463A65CE" w14:textId="4968BBCD" w:rsidR="009E2E79" w:rsidRPr="00DF01B4" w:rsidRDefault="009E2E79" w:rsidP="00670310">
      <w:pPr>
        <w:pStyle w:val="Odstavecseseznamem"/>
        <w:numPr>
          <w:ilvl w:val="1"/>
          <w:numId w:val="15"/>
        </w:numPr>
        <w:spacing w:line="240" w:lineRule="auto"/>
        <w:ind w:left="851" w:hanging="851"/>
        <w:jc w:val="both"/>
      </w:pPr>
      <w:r>
        <w:rPr>
          <w:sz w:val="24"/>
          <w:szCs w:val="24"/>
        </w:rPr>
        <w:t>Tato dohoda</w:t>
      </w:r>
      <w:r w:rsidRPr="009E2E79">
        <w:rPr>
          <w:sz w:val="24"/>
          <w:szCs w:val="24"/>
        </w:rPr>
        <w:t xml:space="preserve">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p>
    <w:p w14:paraId="69296576" w14:textId="77777777" w:rsidR="001531B5" w:rsidRDefault="001531B5" w:rsidP="001531B5">
      <w:pPr>
        <w:numPr>
          <w:ilvl w:val="1"/>
          <w:numId w:val="15"/>
        </w:numPr>
        <w:suppressAutoHyphens w:val="0"/>
        <w:ind w:left="851" w:hanging="851"/>
        <w:jc w:val="both"/>
      </w:pPr>
      <w:r>
        <w:t>Práva a povinnosti smluvních stran, které nejsou přímo upraveny touto dohodou, se řídí příslušnými ustanoveními občanského zákoníku.</w:t>
      </w:r>
    </w:p>
    <w:p w14:paraId="74265281" w14:textId="77777777" w:rsidR="001531B5" w:rsidRDefault="001531B5" w:rsidP="001531B5">
      <w:pPr>
        <w:numPr>
          <w:ilvl w:val="1"/>
          <w:numId w:val="15"/>
        </w:numPr>
        <w:suppressAutoHyphens w:val="0"/>
        <w:ind w:left="851" w:hanging="851"/>
        <w:jc w:val="both"/>
      </w:pPr>
      <w:r w:rsidRPr="00C47D7D">
        <w:t xml:space="preserve">Změny a doplňky této </w:t>
      </w:r>
      <w:r>
        <w:t>dohody</w:t>
      </w:r>
      <w:r w:rsidRPr="00C47D7D">
        <w:t xml:space="preserve"> mohou být sjednány</w:t>
      </w:r>
      <w:r>
        <w:t xml:space="preserve"> jen písemnou formou a musí být </w:t>
      </w:r>
      <w:r w:rsidRPr="00C47D7D">
        <w:t>potvrzeny oběma stranami.</w:t>
      </w:r>
    </w:p>
    <w:p w14:paraId="7D381B9E" w14:textId="77777777" w:rsidR="001531B5" w:rsidRDefault="001531B5" w:rsidP="001531B5">
      <w:pPr>
        <w:numPr>
          <w:ilvl w:val="1"/>
          <w:numId w:val="15"/>
        </w:numPr>
        <w:suppressAutoHyphens w:val="0"/>
        <w:ind w:left="851" w:hanging="851"/>
        <w:jc w:val="both"/>
      </w:pPr>
      <w:r w:rsidRPr="00C44176">
        <w:t xml:space="preserve">Poskytovatel není bez předchozího písemného souhlasu objednatele oprávněn postoupit práva a povinnosti z této </w:t>
      </w:r>
      <w:r>
        <w:t>dohody</w:t>
      </w:r>
      <w:r w:rsidRPr="00C44176">
        <w:t xml:space="preserve"> na třetí osobu.</w:t>
      </w:r>
    </w:p>
    <w:p w14:paraId="6C8866DF" w14:textId="77777777" w:rsidR="00207F3F" w:rsidRDefault="00207F3F" w:rsidP="00207F3F">
      <w:pPr>
        <w:numPr>
          <w:ilvl w:val="1"/>
          <w:numId w:val="15"/>
        </w:numPr>
        <w:suppressAutoHyphens w:val="0"/>
        <w:ind w:left="851" w:hanging="851"/>
        <w:jc w:val="both"/>
      </w:pPr>
      <w:r w:rsidRPr="00D44CAE">
        <w:t>Smluvní strany výslovně souhlasí s tím, aby tato smlouva byla zveřejněna v registru smluv za podmínek zákona č. 340/2015 Sb., o zvláštních podmínkách účinnosti některých smluv, uveřejňování těchto smluv a o registru smluv, ve znění pozdějších předpisů, do 30 dnů ode dne podpisu smlouvy poslední smluvní stranou, nejpozději do 3 měsíců ode dne podpisu smlouvy. Smluvní strany souhlasí se zveřejněním svých osobních údajů ve smlouvě, která bude zveřejněna v registru smluv podle věty první. Smluvní strany prohlašují, že skutečnosti obsažené ve smlouvě nepovažují za obchodní tajemství ve smyslu § 504 občanského zákoníku a udělují svolení k jejich užití a zveřejnění bez stanovení</w:t>
      </w:r>
      <w:r>
        <w:t xml:space="preserve"> jakýchkoliv dalších podmínek.</w:t>
      </w:r>
    </w:p>
    <w:p w14:paraId="47DF5732" w14:textId="77777777" w:rsidR="00207F3F" w:rsidRPr="00D44CAE" w:rsidRDefault="00207F3F" w:rsidP="00207F3F">
      <w:pPr>
        <w:numPr>
          <w:ilvl w:val="1"/>
          <w:numId w:val="15"/>
        </w:numPr>
        <w:suppressAutoHyphens w:val="0"/>
        <w:ind w:left="851" w:hanging="851"/>
        <w:jc w:val="both"/>
      </w:pPr>
      <w:r w:rsidRPr="00D44CAE">
        <w:t>Tímto se ve smyslu ustanovení § 43 odst. 1 zákona č. 131/2000 Sb., o hlavním městě Praze, ve znění pozdějších předpisů, potvrzuje, že byly splněny podmínky pro platnost právního jednání Městské části Praha 5, a to usnesením RMČ Praha 5/ZMČ Praha 5 č.</w:t>
      </w:r>
      <w:r>
        <w:t xml:space="preserve"> ………………………………ze dne……………………….…</w:t>
      </w:r>
    </w:p>
    <w:p w14:paraId="5E20FF71" w14:textId="77777777" w:rsidR="001E25AC" w:rsidRPr="00D17C01" w:rsidRDefault="001E25AC" w:rsidP="001E25AC"/>
    <w:p w14:paraId="32F46991" w14:textId="77777777" w:rsidR="001E25AC" w:rsidRDefault="001E25AC" w:rsidP="001E25AC"/>
    <w:p w14:paraId="6582BF82" w14:textId="37F9D074" w:rsidR="001E25AC" w:rsidRDefault="001E25AC" w:rsidP="001E25AC">
      <w:r>
        <w:t xml:space="preserve">Příloha č. 1: </w:t>
      </w:r>
      <w:r w:rsidR="005F3E14">
        <w:t>Spotřební koš</w:t>
      </w:r>
      <w:r w:rsidR="00555533" w:rsidRPr="00555533" w:rsidDel="00555533">
        <w:rPr>
          <w:highlight w:val="yellow"/>
        </w:rPr>
        <w:t xml:space="preserve"> </w:t>
      </w:r>
    </w:p>
    <w:p w14:paraId="63F9C447" w14:textId="77777777" w:rsidR="001E25AC" w:rsidRDefault="001E25AC" w:rsidP="001E25AC">
      <w:pPr>
        <w:ind w:left="709"/>
        <w:jc w:val="both"/>
      </w:pPr>
    </w:p>
    <w:p w14:paraId="7FEBC0C4" w14:textId="77777777" w:rsidR="001E25AC" w:rsidRDefault="001E25AC" w:rsidP="001E25AC">
      <w:pPr>
        <w:pStyle w:val="Seznam31"/>
        <w:ind w:left="0" w:firstLine="0"/>
        <w:jc w:val="both"/>
        <w:rPr>
          <w:highlight w:val="yellow"/>
        </w:rPr>
      </w:pPr>
    </w:p>
    <w:p w14:paraId="17C21E08" w14:textId="77777777" w:rsidR="00670310" w:rsidRDefault="00670310" w:rsidP="001E25AC">
      <w:pPr>
        <w:pStyle w:val="Seznam31"/>
        <w:ind w:left="0" w:firstLine="0"/>
        <w:jc w:val="both"/>
      </w:pPr>
    </w:p>
    <w:p w14:paraId="0D06E928" w14:textId="77777777" w:rsidR="00670310" w:rsidRDefault="00670310" w:rsidP="001E25AC">
      <w:pPr>
        <w:pStyle w:val="Seznam31"/>
        <w:ind w:left="0" w:firstLine="0"/>
        <w:jc w:val="both"/>
      </w:pPr>
    </w:p>
    <w:p w14:paraId="5D2B6B9C" w14:textId="77777777" w:rsidR="00670310" w:rsidRDefault="00670310" w:rsidP="001E25AC">
      <w:pPr>
        <w:pStyle w:val="Seznam31"/>
        <w:ind w:left="0" w:firstLine="0"/>
        <w:jc w:val="both"/>
      </w:pPr>
    </w:p>
    <w:p w14:paraId="65CC35D5" w14:textId="77777777" w:rsidR="00670310" w:rsidRDefault="00670310" w:rsidP="001E25AC">
      <w:pPr>
        <w:pStyle w:val="Seznam31"/>
        <w:ind w:left="0" w:firstLine="0"/>
        <w:jc w:val="both"/>
      </w:pPr>
    </w:p>
    <w:p w14:paraId="663A1760" w14:textId="77777777" w:rsidR="00670310" w:rsidRDefault="00670310" w:rsidP="001E25AC">
      <w:pPr>
        <w:pStyle w:val="Seznam31"/>
        <w:ind w:left="0" w:firstLine="0"/>
        <w:jc w:val="both"/>
      </w:pPr>
    </w:p>
    <w:p w14:paraId="5D9FA666" w14:textId="77777777" w:rsidR="00670310" w:rsidRDefault="00670310" w:rsidP="001E25AC">
      <w:pPr>
        <w:pStyle w:val="Seznam31"/>
        <w:ind w:left="0" w:firstLine="0"/>
        <w:jc w:val="both"/>
      </w:pPr>
    </w:p>
    <w:p w14:paraId="50BF7FCE" w14:textId="77777777" w:rsidR="00670310" w:rsidRDefault="00670310" w:rsidP="001E25AC">
      <w:pPr>
        <w:pStyle w:val="Seznam31"/>
        <w:ind w:left="0" w:firstLine="0"/>
        <w:jc w:val="both"/>
      </w:pPr>
    </w:p>
    <w:p w14:paraId="5D96D920" w14:textId="77777777" w:rsidR="00670310" w:rsidRDefault="00670310" w:rsidP="001E25AC">
      <w:pPr>
        <w:pStyle w:val="Seznam31"/>
        <w:ind w:left="0" w:firstLine="0"/>
        <w:jc w:val="both"/>
      </w:pPr>
    </w:p>
    <w:p w14:paraId="124F0B67" w14:textId="77777777" w:rsidR="001E25AC" w:rsidRDefault="001E25AC" w:rsidP="001E25AC">
      <w:pPr>
        <w:pStyle w:val="Seznam31"/>
        <w:ind w:left="0" w:firstLine="0"/>
        <w:jc w:val="both"/>
        <w:rPr>
          <w:b/>
        </w:rPr>
      </w:pPr>
      <w:r w:rsidRPr="00C01DD0">
        <w:t>V Praze dne……………………...</w:t>
      </w:r>
      <w:r>
        <w:tab/>
      </w:r>
      <w:r>
        <w:tab/>
      </w:r>
      <w:r>
        <w:tab/>
      </w:r>
      <w:r w:rsidRPr="00C01DD0">
        <w:rPr>
          <w:highlight w:val="yellow"/>
        </w:rPr>
        <w:t>V Praze dne……………………...</w:t>
      </w:r>
    </w:p>
    <w:p w14:paraId="7D752CFB" w14:textId="77777777" w:rsidR="001E25AC" w:rsidRPr="00E14781" w:rsidRDefault="001E25AC" w:rsidP="001E25AC">
      <w:pPr>
        <w:pStyle w:val="Seznam31"/>
        <w:ind w:left="0" w:firstLine="0"/>
        <w:rPr>
          <w:rFonts w:ascii="Garamond" w:hAnsi="Garamond"/>
        </w:rPr>
      </w:pPr>
    </w:p>
    <w:p w14:paraId="134B8CBA" w14:textId="77777777" w:rsidR="001E25AC" w:rsidRPr="00E14781" w:rsidRDefault="001E25AC" w:rsidP="001E25AC">
      <w:pPr>
        <w:pStyle w:val="Seznam31"/>
        <w:ind w:left="0" w:firstLine="0"/>
        <w:rPr>
          <w:rFonts w:ascii="Garamond" w:hAnsi="Garamond"/>
        </w:rPr>
      </w:pPr>
    </w:p>
    <w:p w14:paraId="546272A4" w14:textId="77777777" w:rsidR="001E25AC" w:rsidRPr="00E14781" w:rsidRDefault="001E25AC" w:rsidP="001E25AC">
      <w:pPr>
        <w:pStyle w:val="Seznam31"/>
        <w:ind w:left="0" w:firstLine="0"/>
        <w:rPr>
          <w:rFonts w:ascii="Garamond" w:hAnsi="Garamond"/>
        </w:rPr>
      </w:pPr>
    </w:p>
    <w:p w14:paraId="5FD4EAD2" w14:textId="77777777" w:rsidR="001E25AC" w:rsidRPr="00E14781" w:rsidRDefault="001E25AC" w:rsidP="001E25AC">
      <w:pPr>
        <w:pStyle w:val="Seznam31"/>
        <w:ind w:left="0" w:firstLine="0"/>
        <w:rPr>
          <w:rFonts w:ascii="Garamond" w:hAnsi="Garamond"/>
        </w:rPr>
      </w:pPr>
    </w:p>
    <w:p w14:paraId="0641740D" w14:textId="77777777" w:rsidR="001E25AC" w:rsidRPr="001531B5" w:rsidRDefault="001E25AC" w:rsidP="001E25AC">
      <w:pPr>
        <w:pStyle w:val="Seznam31"/>
        <w:ind w:left="0" w:firstLine="0"/>
        <w:jc w:val="both"/>
        <w:rPr>
          <w:sz w:val="20"/>
        </w:rPr>
      </w:pPr>
      <w:r w:rsidRPr="001531B5">
        <w:rPr>
          <w:sz w:val="20"/>
        </w:rPr>
        <w:t xml:space="preserve">…………………………………………   </w:t>
      </w:r>
      <w:r w:rsidRPr="001531B5">
        <w:rPr>
          <w:sz w:val="20"/>
        </w:rPr>
        <w:tab/>
      </w:r>
      <w:r w:rsidRPr="001531B5">
        <w:rPr>
          <w:sz w:val="20"/>
        </w:rPr>
        <w:tab/>
      </w:r>
      <w:r w:rsidRPr="001531B5">
        <w:rPr>
          <w:sz w:val="20"/>
        </w:rPr>
        <w:tab/>
      </w:r>
      <w:r w:rsidRPr="001531B5">
        <w:rPr>
          <w:sz w:val="20"/>
        </w:rPr>
        <w:tab/>
      </w:r>
      <w:r w:rsidRPr="001531B5">
        <w:rPr>
          <w:sz w:val="20"/>
          <w:highlight w:val="yellow"/>
        </w:rPr>
        <w:t>……………………………………</w:t>
      </w:r>
    </w:p>
    <w:p w14:paraId="180DD092" w14:textId="77777777" w:rsidR="001E25AC" w:rsidRPr="001531B5" w:rsidRDefault="001E25AC" w:rsidP="001E25AC">
      <w:pPr>
        <w:pStyle w:val="Seznam31"/>
        <w:ind w:left="0" w:firstLine="0"/>
        <w:jc w:val="both"/>
        <w:rPr>
          <w:sz w:val="20"/>
        </w:rPr>
      </w:pPr>
      <w:r w:rsidRPr="001531B5">
        <w:t xml:space="preserve">za </w:t>
      </w:r>
      <w:r w:rsidR="001531B5" w:rsidRPr="001531B5">
        <w:t>kupujícího</w:t>
      </w:r>
      <w:r w:rsidRPr="001531B5">
        <w:rPr>
          <w:sz w:val="20"/>
        </w:rPr>
        <w:t>:</w:t>
      </w:r>
      <w:r w:rsidRPr="001531B5">
        <w:rPr>
          <w:sz w:val="20"/>
        </w:rPr>
        <w:tab/>
      </w:r>
      <w:r w:rsidRPr="001531B5">
        <w:rPr>
          <w:sz w:val="20"/>
        </w:rPr>
        <w:tab/>
      </w:r>
      <w:r w:rsidRPr="001531B5">
        <w:rPr>
          <w:sz w:val="20"/>
        </w:rPr>
        <w:tab/>
      </w:r>
      <w:r w:rsidRPr="001531B5">
        <w:rPr>
          <w:sz w:val="20"/>
        </w:rPr>
        <w:tab/>
      </w:r>
      <w:r w:rsidRPr="001531B5">
        <w:rPr>
          <w:sz w:val="20"/>
        </w:rPr>
        <w:tab/>
      </w:r>
      <w:r w:rsidRPr="001531B5">
        <w:rPr>
          <w:sz w:val="20"/>
        </w:rPr>
        <w:tab/>
      </w:r>
      <w:r w:rsidRPr="001531B5">
        <w:rPr>
          <w:sz w:val="20"/>
        </w:rPr>
        <w:tab/>
      </w:r>
      <w:r w:rsidRPr="001531B5">
        <w:rPr>
          <w:highlight w:val="yellow"/>
        </w:rPr>
        <w:t xml:space="preserve">za </w:t>
      </w:r>
      <w:r w:rsidR="001531B5" w:rsidRPr="001531B5">
        <w:rPr>
          <w:highlight w:val="yellow"/>
        </w:rPr>
        <w:t>prodávajícího</w:t>
      </w:r>
      <w:r w:rsidRPr="001531B5">
        <w:rPr>
          <w:sz w:val="20"/>
          <w:highlight w:val="yellow"/>
        </w:rPr>
        <w:t>:</w:t>
      </w:r>
    </w:p>
    <w:p w14:paraId="65072D34" w14:textId="77777777" w:rsidR="001E25AC" w:rsidRPr="001531B5" w:rsidRDefault="001E25AC" w:rsidP="001E25AC">
      <w:pPr>
        <w:pStyle w:val="Seznam31"/>
        <w:tabs>
          <w:tab w:val="left" w:pos="142"/>
        </w:tabs>
        <w:ind w:left="0" w:firstLine="0"/>
        <w:jc w:val="both"/>
        <w:rPr>
          <w:b/>
        </w:rPr>
      </w:pPr>
      <w:r w:rsidRPr="001531B5">
        <w:rPr>
          <w:b/>
        </w:rPr>
        <w:t>Ing. Pavel Richter</w:t>
      </w:r>
      <w:r w:rsidRPr="001531B5">
        <w:rPr>
          <w:b/>
        </w:rPr>
        <w:tab/>
      </w:r>
      <w:r w:rsidRPr="001531B5">
        <w:rPr>
          <w:b/>
        </w:rPr>
        <w:tab/>
      </w:r>
      <w:r w:rsidRPr="001531B5">
        <w:rPr>
          <w:b/>
        </w:rPr>
        <w:tab/>
      </w:r>
      <w:r w:rsidRPr="001531B5">
        <w:rPr>
          <w:b/>
        </w:rPr>
        <w:tab/>
      </w:r>
    </w:p>
    <w:p w14:paraId="5F5E1E9F" w14:textId="77777777" w:rsidR="001E25AC" w:rsidRPr="001531B5" w:rsidRDefault="001E25AC" w:rsidP="001E25AC">
      <w:pPr>
        <w:pStyle w:val="Seznam31"/>
        <w:ind w:left="0" w:firstLine="0"/>
        <w:rPr>
          <w:highlight w:val="yellow"/>
        </w:rPr>
      </w:pPr>
      <w:r w:rsidRPr="001531B5">
        <w:rPr>
          <w:b/>
        </w:rPr>
        <w:t>starosta MČ Praha 5</w:t>
      </w:r>
      <w:r w:rsidRPr="001531B5">
        <w:tab/>
      </w:r>
    </w:p>
    <w:p w14:paraId="38C9A7D5" w14:textId="77777777" w:rsidR="00F50330" w:rsidRDefault="00CC7133"/>
    <w:sectPr w:rsidR="00F50330" w:rsidSect="00F2364B">
      <w:headerReference w:type="default" r:id="rId8"/>
      <w:footerReference w:type="default" r:id="rId9"/>
      <w:headerReference w:type="first" r:id="rId10"/>
      <w:pgSz w:w="11906" w:h="16838"/>
      <w:pgMar w:top="1667" w:right="1417" w:bottom="993" w:left="1417" w:header="567"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E0E7F" w14:textId="77777777" w:rsidR="00CC7133" w:rsidRDefault="00CC7133" w:rsidP="00EB2BCE">
      <w:r>
        <w:separator/>
      </w:r>
    </w:p>
  </w:endnote>
  <w:endnote w:type="continuationSeparator" w:id="0">
    <w:p w14:paraId="50104E19" w14:textId="77777777" w:rsidR="00CC7133" w:rsidRDefault="00CC7133" w:rsidP="00EB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0EC6" w14:textId="77777777" w:rsidR="00855E0D" w:rsidRDefault="00EB2BCE">
    <w:pPr>
      <w:pStyle w:val="Zpat"/>
      <w:jc w:val="center"/>
    </w:pPr>
    <w:r>
      <w:fldChar w:fldCharType="begin"/>
    </w:r>
    <w:r w:rsidR="001531B5">
      <w:instrText xml:space="preserve"> PAGE </w:instrText>
    </w:r>
    <w:r>
      <w:fldChar w:fldCharType="separate"/>
    </w:r>
    <w:r w:rsidR="001B1186">
      <w:rPr>
        <w:noProof/>
      </w:rPr>
      <w:t>3</w:t>
    </w:r>
    <w:r>
      <w:fldChar w:fldCharType="end"/>
    </w:r>
  </w:p>
  <w:p w14:paraId="4FCB91BA" w14:textId="77777777" w:rsidR="00855E0D" w:rsidRDefault="00CC71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7EE7B" w14:textId="77777777" w:rsidR="00CC7133" w:rsidRDefault="00CC7133" w:rsidP="00EB2BCE">
      <w:r>
        <w:separator/>
      </w:r>
    </w:p>
  </w:footnote>
  <w:footnote w:type="continuationSeparator" w:id="0">
    <w:p w14:paraId="57A62EDE" w14:textId="77777777" w:rsidR="00CC7133" w:rsidRDefault="00CC7133" w:rsidP="00EB2BCE">
      <w:r>
        <w:continuationSeparator/>
      </w:r>
    </w:p>
  </w:footnote>
  <w:footnote w:id="1">
    <w:p w14:paraId="065BD92F" w14:textId="77777777" w:rsidR="001C6202" w:rsidRDefault="001C6202">
      <w:pPr>
        <w:pStyle w:val="Textpoznpodarou"/>
      </w:pPr>
      <w:r>
        <w:rPr>
          <w:rStyle w:val="Znakapoznpodarou"/>
        </w:rPr>
        <w:footnoteRef/>
      </w:r>
      <w:r>
        <w:t xml:space="preserve"> Termín bude upraven na základě výsledků zadávacího řízení. Předpoklad zahájení je ihned po podepsání rámcové dohody.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F704" w14:textId="77777777" w:rsidR="00211325" w:rsidRDefault="001E25AC" w:rsidP="00211325">
    <w:pPr>
      <w:pStyle w:val="Zhlav"/>
      <w:tabs>
        <w:tab w:val="left" w:pos="7458"/>
      </w:tabs>
      <w:ind w:firstLine="7080"/>
      <w:rPr>
        <w:b/>
      </w:rPr>
    </w:pPr>
    <w:r w:rsidRPr="00211325">
      <w:rPr>
        <w:noProof/>
        <w:sz w:val="30"/>
        <w:szCs w:val="30"/>
        <w:lang w:eastAsia="cs-CZ"/>
      </w:rPr>
      <w:drawing>
        <wp:anchor distT="1080135" distB="0" distL="114300" distR="114300" simplePos="0" relativeHeight="251659264" behindDoc="1" locked="0" layoutInCell="1" allowOverlap="1" wp14:anchorId="2A62AA69" wp14:editId="2630542A">
          <wp:simplePos x="0" y="0"/>
          <wp:positionH relativeFrom="margin">
            <wp:posOffset>2193925</wp:posOffset>
          </wp:positionH>
          <wp:positionV relativeFrom="margin">
            <wp:posOffset>-857250</wp:posOffset>
          </wp:positionV>
          <wp:extent cx="1333500" cy="561975"/>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solidFill>
                    <a:srgbClr val="FFFFFF"/>
                  </a:solidFill>
                  <a:ln>
                    <a:noFill/>
                  </a:ln>
                </pic:spPr>
              </pic:pic>
            </a:graphicData>
          </a:graphic>
        </wp:anchor>
      </w:drawing>
    </w:r>
  </w:p>
  <w:p w14:paraId="6D692BE4" w14:textId="77777777" w:rsidR="00211325" w:rsidRDefault="00CC7133" w:rsidP="00211325">
    <w:pPr>
      <w:pStyle w:val="Zhlav"/>
      <w:tabs>
        <w:tab w:val="left" w:pos="7458"/>
      </w:tabs>
      <w:ind w:firstLine="6372"/>
      <w:rPr>
        <w:b/>
        <w:sz w:val="30"/>
        <w:szCs w:val="30"/>
      </w:rPr>
    </w:pPr>
  </w:p>
  <w:p w14:paraId="76C5C90E" w14:textId="77777777" w:rsidR="00211325" w:rsidRDefault="00CC7133" w:rsidP="00211325">
    <w:pPr>
      <w:pStyle w:val="Zhlav"/>
      <w:tabs>
        <w:tab w:val="left" w:pos="7458"/>
      </w:tabs>
      <w:ind w:firstLine="6372"/>
      <w:rPr>
        <w:b/>
        <w:sz w:val="30"/>
        <w:szCs w:val="30"/>
      </w:rPr>
    </w:pPr>
  </w:p>
  <w:p w14:paraId="1CBF0869" w14:textId="77777777" w:rsidR="00855E0D" w:rsidRDefault="00CC71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DE34" w14:textId="77777777" w:rsidR="00211325" w:rsidRDefault="001E25AC" w:rsidP="00211325">
    <w:pPr>
      <w:pStyle w:val="Zhlav"/>
      <w:tabs>
        <w:tab w:val="left" w:pos="6270"/>
      </w:tabs>
    </w:pPr>
    <w:r>
      <w:rPr>
        <w:noProof/>
        <w:lang w:eastAsia="cs-CZ"/>
      </w:rPr>
      <w:drawing>
        <wp:anchor distT="1080135" distB="0" distL="114300" distR="114300" simplePos="0" relativeHeight="251660288" behindDoc="0" locked="0" layoutInCell="1" allowOverlap="1" wp14:anchorId="271996D1" wp14:editId="1BBB9550">
          <wp:simplePos x="0" y="0"/>
          <wp:positionH relativeFrom="margin">
            <wp:posOffset>2206625</wp:posOffset>
          </wp:positionH>
          <wp:positionV relativeFrom="margin">
            <wp:posOffset>-871220</wp:posOffset>
          </wp:positionV>
          <wp:extent cx="1333500" cy="56197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solidFill>
                    <a:srgbClr val="FFFFFF"/>
                  </a:solidFill>
                  <a:ln>
                    <a:noFill/>
                  </a:ln>
                </pic:spPr>
              </pic:pic>
            </a:graphicData>
          </a:graphic>
        </wp:anchor>
      </w:drawing>
    </w:r>
  </w:p>
  <w:p w14:paraId="5C463347" w14:textId="77777777" w:rsidR="00211325" w:rsidRDefault="00CC7133" w:rsidP="00211325">
    <w:pPr>
      <w:pStyle w:val="Zhlav"/>
      <w:tabs>
        <w:tab w:val="left" w:pos="6270"/>
      </w:tabs>
    </w:pPr>
  </w:p>
  <w:p w14:paraId="0C2A0217" w14:textId="77777777" w:rsidR="00211325" w:rsidRDefault="00CC7133" w:rsidP="00211325">
    <w:pPr>
      <w:pStyle w:val="Zhlav"/>
      <w:tabs>
        <w:tab w:val="left" w:pos="6270"/>
      </w:tabs>
    </w:pPr>
  </w:p>
  <w:p w14:paraId="429ED0EC" w14:textId="77777777" w:rsidR="00A933E8" w:rsidRDefault="001531B5" w:rsidP="00F2364B">
    <w:pPr>
      <w:pStyle w:val="Zhlav"/>
      <w:tabs>
        <w:tab w:val="left" w:pos="627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B2E354E"/>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00000009"/>
    <w:name w:val="WW8Num9"/>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0000000A"/>
    <w:multiLevelType w:val="multilevel"/>
    <w:tmpl w:val="16A4195A"/>
    <w:name w:val="WW8Num10"/>
    <w:lvl w:ilvl="0">
      <w:start w:val="4"/>
      <w:numFmt w:val="decimal"/>
      <w:lvlText w:val="%1."/>
      <w:lvlJc w:val="left"/>
      <w:pPr>
        <w:tabs>
          <w:tab w:val="num" w:pos="0"/>
        </w:tabs>
        <w:ind w:left="360" w:hanging="360"/>
      </w:pPr>
      <w:rPr>
        <w:rFonts w:ascii="Times New Roman" w:hAnsi="Times New Roman" w:cs="Times New Roman" w:hint="default"/>
        <w:sz w:val="26"/>
        <w:szCs w:val="26"/>
        <w:lang w:val="cs-CZ"/>
      </w:rPr>
    </w:lvl>
    <w:lvl w:ilvl="1">
      <w:start w:val="1"/>
      <w:numFmt w:val="decimal"/>
      <w:lvlText w:val="%1.%2."/>
      <w:lvlJc w:val="left"/>
      <w:pPr>
        <w:tabs>
          <w:tab w:val="num" w:pos="0"/>
        </w:tabs>
        <w:ind w:left="360" w:hanging="360"/>
      </w:pPr>
      <w:rPr>
        <w:rFonts w:ascii="Times New Roman" w:hAnsi="Times New Roman" w:cs="Times New Roman" w:hint="default"/>
        <w:color w:val="auto"/>
        <w:sz w:val="26"/>
        <w:szCs w:val="26"/>
        <w:lang w:val="cs-CZ"/>
      </w:rPr>
    </w:lvl>
    <w:lvl w:ilvl="2">
      <w:start w:val="1"/>
      <w:numFmt w:val="decimal"/>
      <w:lvlText w:val="%1.%2.%3."/>
      <w:lvlJc w:val="left"/>
      <w:pPr>
        <w:tabs>
          <w:tab w:val="num" w:pos="0"/>
        </w:tabs>
        <w:ind w:left="720" w:hanging="720"/>
      </w:pPr>
      <w:rPr>
        <w:rFonts w:ascii="Times New Roman" w:hAnsi="Times New Roman" w:cs="Times New Roman" w:hint="default"/>
        <w:sz w:val="26"/>
        <w:szCs w:val="26"/>
        <w:lang w:val="cs-CZ"/>
      </w:rPr>
    </w:lvl>
    <w:lvl w:ilvl="3">
      <w:start w:val="1"/>
      <w:numFmt w:val="decimal"/>
      <w:lvlText w:val="%1.%2.%3.%4."/>
      <w:lvlJc w:val="left"/>
      <w:pPr>
        <w:tabs>
          <w:tab w:val="num" w:pos="0"/>
        </w:tabs>
        <w:ind w:left="720" w:hanging="720"/>
      </w:pPr>
      <w:rPr>
        <w:rFonts w:ascii="Times New Roman" w:hAnsi="Times New Roman" w:cs="Times New Roman" w:hint="default"/>
        <w:sz w:val="26"/>
        <w:szCs w:val="26"/>
        <w:lang w:val="cs-CZ"/>
      </w:rPr>
    </w:lvl>
    <w:lvl w:ilvl="4">
      <w:start w:val="1"/>
      <w:numFmt w:val="decimal"/>
      <w:lvlText w:val="%1.%2.%3.%4.%5."/>
      <w:lvlJc w:val="left"/>
      <w:pPr>
        <w:tabs>
          <w:tab w:val="num" w:pos="0"/>
        </w:tabs>
        <w:ind w:left="1080" w:hanging="1080"/>
      </w:pPr>
      <w:rPr>
        <w:rFonts w:ascii="Times New Roman" w:hAnsi="Times New Roman" w:cs="Times New Roman" w:hint="default"/>
        <w:sz w:val="26"/>
        <w:szCs w:val="26"/>
        <w:lang w:val="cs-CZ"/>
      </w:rPr>
    </w:lvl>
    <w:lvl w:ilvl="5">
      <w:start w:val="1"/>
      <w:numFmt w:val="decimal"/>
      <w:lvlText w:val="%1.%2.%3.%4.%5.%6."/>
      <w:lvlJc w:val="left"/>
      <w:pPr>
        <w:tabs>
          <w:tab w:val="num" w:pos="0"/>
        </w:tabs>
        <w:ind w:left="1080" w:hanging="1080"/>
      </w:pPr>
      <w:rPr>
        <w:rFonts w:ascii="Times New Roman" w:hAnsi="Times New Roman" w:cs="Times New Roman" w:hint="default"/>
        <w:sz w:val="26"/>
        <w:szCs w:val="26"/>
        <w:lang w:val="cs-CZ"/>
      </w:rPr>
    </w:lvl>
    <w:lvl w:ilvl="6">
      <w:start w:val="1"/>
      <w:numFmt w:val="decimal"/>
      <w:lvlText w:val="%1.%2.%3.%4.%5.%6.%7."/>
      <w:lvlJc w:val="left"/>
      <w:pPr>
        <w:tabs>
          <w:tab w:val="num" w:pos="0"/>
        </w:tabs>
        <w:ind w:left="1440" w:hanging="1440"/>
      </w:pPr>
      <w:rPr>
        <w:rFonts w:ascii="Times New Roman" w:hAnsi="Times New Roman" w:cs="Times New Roman" w:hint="default"/>
        <w:sz w:val="26"/>
        <w:szCs w:val="26"/>
        <w:lang w:val="cs-CZ"/>
      </w:rPr>
    </w:lvl>
    <w:lvl w:ilvl="7">
      <w:start w:val="1"/>
      <w:numFmt w:val="decimal"/>
      <w:lvlText w:val="%1.%2.%3.%4.%5.%6.%7.%8."/>
      <w:lvlJc w:val="left"/>
      <w:pPr>
        <w:tabs>
          <w:tab w:val="num" w:pos="0"/>
        </w:tabs>
        <w:ind w:left="1440" w:hanging="1440"/>
      </w:pPr>
      <w:rPr>
        <w:rFonts w:ascii="Times New Roman" w:hAnsi="Times New Roman" w:cs="Times New Roman" w:hint="default"/>
        <w:sz w:val="26"/>
        <w:szCs w:val="26"/>
        <w:lang w:val="cs-CZ"/>
      </w:rPr>
    </w:lvl>
    <w:lvl w:ilvl="8">
      <w:start w:val="1"/>
      <w:numFmt w:val="decimal"/>
      <w:lvlText w:val="%1.%2.%3.%4.%5.%6.%7.%8.%9."/>
      <w:lvlJc w:val="left"/>
      <w:pPr>
        <w:tabs>
          <w:tab w:val="num" w:pos="0"/>
        </w:tabs>
        <w:ind w:left="1800" w:hanging="1800"/>
      </w:pPr>
      <w:rPr>
        <w:rFonts w:ascii="Times New Roman" w:hAnsi="Times New Roman" w:cs="Times New Roman" w:hint="default"/>
        <w:sz w:val="26"/>
        <w:szCs w:val="26"/>
        <w:lang w:val="cs-CZ"/>
      </w:rPr>
    </w:lvl>
  </w:abstractNum>
  <w:abstractNum w:abstractNumId="3">
    <w:nsid w:val="0000000B"/>
    <w:multiLevelType w:val="multilevel"/>
    <w:tmpl w:val="0000000B"/>
    <w:name w:val="WW8Num11"/>
    <w:lvl w:ilvl="0">
      <w:start w:val="3"/>
      <w:numFmt w:val="decimal"/>
      <w:lvlText w:val="%1."/>
      <w:lvlJc w:val="left"/>
      <w:pPr>
        <w:tabs>
          <w:tab w:val="num" w:pos="0"/>
        </w:tabs>
        <w:ind w:left="360" w:hanging="360"/>
      </w:pPr>
      <w:rPr>
        <w:rFonts w:hint="default"/>
        <w:bCs/>
        <w:color w:val="000000"/>
      </w:rPr>
    </w:lvl>
    <w:lvl w:ilvl="1">
      <w:start w:val="1"/>
      <w:numFmt w:val="decimal"/>
      <w:lvlText w:val="%1.%2."/>
      <w:lvlJc w:val="left"/>
      <w:pPr>
        <w:tabs>
          <w:tab w:val="num" w:pos="0"/>
        </w:tabs>
        <w:ind w:left="360" w:hanging="360"/>
      </w:pPr>
      <w:rPr>
        <w:rFonts w:hint="default"/>
        <w:bCs/>
        <w:color w:val="000000"/>
      </w:rPr>
    </w:lvl>
    <w:lvl w:ilvl="2">
      <w:start w:val="1"/>
      <w:numFmt w:val="decimal"/>
      <w:lvlText w:val="%1.%2.%3."/>
      <w:lvlJc w:val="left"/>
      <w:pPr>
        <w:tabs>
          <w:tab w:val="num" w:pos="0"/>
        </w:tabs>
        <w:ind w:left="720" w:hanging="720"/>
      </w:pPr>
      <w:rPr>
        <w:rFonts w:hint="default"/>
        <w:bCs/>
        <w:color w:val="000000"/>
      </w:rPr>
    </w:lvl>
    <w:lvl w:ilvl="3">
      <w:start w:val="1"/>
      <w:numFmt w:val="decimal"/>
      <w:lvlText w:val="%1.%2.%3.%4."/>
      <w:lvlJc w:val="left"/>
      <w:pPr>
        <w:tabs>
          <w:tab w:val="num" w:pos="0"/>
        </w:tabs>
        <w:ind w:left="720" w:hanging="720"/>
      </w:pPr>
      <w:rPr>
        <w:rFonts w:hint="default"/>
        <w:bCs/>
        <w:color w:val="000000"/>
      </w:rPr>
    </w:lvl>
    <w:lvl w:ilvl="4">
      <w:start w:val="1"/>
      <w:numFmt w:val="decimal"/>
      <w:lvlText w:val="%1.%2.%3.%4.%5."/>
      <w:lvlJc w:val="left"/>
      <w:pPr>
        <w:tabs>
          <w:tab w:val="num" w:pos="0"/>
        </w:tabs>
        <w:ind w:left="1080" w:hanging="1080"/>
      </w:pPr>
      <w:rPr>
        <w:rFonts w:hint="default"/>
        <w:bCs/>
        <w:color w:val="000000"/>
      </w:rPr>
    </w:lvl>
    <w:lvl w:ilvl="5">
      <w:start w:val="1"/>
      <w:numFmt w:val="decimal"/>
      <w:lvlText w:val="%1.%2.%3.%4.%5.%6."/>
      <w:lvlJc w:val="left"/>
      <w:pPr>
        <w:tabs>
          <w:tab w:val="num" w:pos="0"/>
        </w:tabs>
        <w:ind w:left="1080" w:hanging="1080"/>
      </w:pPr>
      <w:rPr>
        <w:rFonts w:hint="default"/>
        <w:bCs/>
        <w:color w:val="000000"/>
      </w:rPr>
    </w:lvl>
    <w:lvl w:ilvl="6">
      <w:start w:val="1"/>
      <w:numFmt w:val="decimal"/>
      <w:lvlText w:val="%1.%2.%3.%4.%5.%6.%7."/>
      <w:lvlJc w:val="left"/>
      <w:pPr>
        <w:tabs>
          <w:tab w:val="num" w:pos="0"/>
        </w:tabs>
        <w:ind w:left="1440" w:hanging="1440"/>
      </w:pPr>
      <w:rPr>
        <w:rFonts w:hint="default"/>
        <w:bCs/>
        <w:color w:val="000000"/>
      </w:rPr>
    </w:lvl>
    <w:lvl w:ilvl="7">
      <w:start w:val="1"/>
      <w:numFmt w:val="decimal"/>
      <w:lvlText w:val="%1.%2.%3.%4.%5.%6.%7.%8."/>
      <w:lvlJc w:val="left"/>
      <w:pPr>
        <w:tabs>
          <w:tab w:val="num" w:pos="0"/>
        </w:tabs>
        <w:ind w:left="1440" w:hanging="1440"/>
      </w:pPr>
      <w:rPr>
        <w:rFonts w:hint="default"/>
        <w:bCs/>
        <w:color w:val="000000"/>
      </w:rPr>
    </w:lvl>
    <w:lvl w:ilvl="8">
      <w:start w:val="1"/>
      <w:numFmt w:val="decimal"/>
      <w:lvlText w:val="%1.%2.%3.%4.%5.%6.%7.%8.%9."/>
      <w:lvlJc w:val="left"/>
      <w:pPr>
        <w:tabs>
          <w:tab w:val="num" w:pos="0"/>
        </w:tabs>
        <w:ind w:left="1800" w:hanging="1800"/>
      </w:pPr>
      <w:rPr>
        <w:rFonts w:hint="default"/>
        <w:bCs/>
        <w:color w:val="000000"/>
      </w:rPr>
    </w:lvl>
  </w:abstractNum>
  <w:abstractNum w:abstractNumId="4">
    <w:nsid w:val="0000000D"/>
    <w:multiLevelType w:val="singleLevel"/>
    <w:tmpl w:val="0000000D"/>
    <w:name w:val="WW8Num13"/>
    <w:lvl w:ilvl="0">
      <w:start w:val="2"/>
      <w:numFmt w:val="bullet"/>
      <w:lvlText w:val="-"/>
      <w:lvlJc w:val="left"/>
      <w:pPr>
        <w:tabs>
          <w:tab w:val="num" w:pos="0"/>
        </w:tabs>
        <w:ind w:left="720" w:hanging="360"/>
      </w:pPr>
      <w:rPr>
        <w:rFonts w:ascii="Times New Roman" w:hAnsi="Times New Roman" w:hint="default"/>
        <w:b w:val="0"/>
      </w:rPr>
    </w:lvl>
  </w:abstractNum>
  <w:abstractNum w:abstractNumId="5">
    <w:nsid w:val="0B02766B"/>
    <w:multiLevelType w:val="hybridMultilevel"/>
    <w:tmpl w:val="8CC04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A66754"/>
    <w:multiLevelType w:val="hybridMultilevel"/>
    <w:tmpl w:val="DD580932"/>
    <w:lvl w:ilvl="0" w:tplc="46B84D1A">
      <w:start w:val="1"/>
      <w:numFmt w:val="decimal"/>
      <w:lvlText w:val="%1."/>
      <w:lvlJc w:val="left"/>
      <w:pPr>
        <w:ind w:left="720" w:hanging="360"/>
      </w:pPr>
      <w:rPr>
        <w:rFonts w:hint="default"/>
        <w:b/>
        <w:sz w:val="24"/>
        <w:szCs w:val="24"/>
        <w:u w:val="singl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517E6F"/>
    <w:multiLevelType w:val="multilevel"/>
    <w:tmpl w:val="6CE04984"/>
    <w:lvl w:ilvl="0">
      <w:start w:val="5"/>
      <w:numFmt w:val="decimal"/>
      <w:lvlText w:val="%1."/>
      <w:lvlJc w:val="left"/>
      <w:pPr>
        <w:ind w:left="360" w:hanging="360"/>
      </w:pPr>
      <w:rPr>
        <w:rFonts w:ascii="Arial" w:eastAsia="Calibri" w:hAnsi="Arial" w:cs="Arial" w:hint="default"/>
        <w:b w:val="0"/>
        <w:color w:val="auto"/>
        <w:sz w:val="22"/>
      </w:rPr>
    </w:lvl>
    <w:lvl w:ilvl="1">
      <w:start w:val="1"/>
      <w:numFmt w:val="decimal"/>
      <w:lvlText w:val="%1.%2."/>
      <w:lvlJc w:val="left"/>
      <w:pPr>
        <w:ind w:left="360" w:hanging="360"/>
      </w:pPr>
      <w:rPr>
        <w:rFonts w:ascii="Times New Roman" w:eastAsia="Calibri" w:hAnsi="Times New Roman" w:cs="Times New Roman" w:hint="default"/>
        <w:b w:val="0"/>
        <w:color w:val="auto"/>
        <w:sz w:val="24"/>
        <w:szCs w:val="24"/>
      </w:rPr>
    </w:lvl>
    <w:lvl w:ilvl="2">
      <w:start w:val="1"/>
      <w:numFmt w:val="decimal"/>
      <w:lvlText w:val="%1.%2.%3."/>
      <w:lvlJc w:val="left"/>
      <w:pPr>
        <w:ind w:left="720" w:hanging="720"/>
      </w:pPr>
      <w:rPr>
        <w:rFonts w:ascii="Arial" w:eastAsia="Calibri" w:hAnsi="Arial" w:cs="Arial" w:hint="default"/>
        <w:b w:val="0"/>
        <w:color w:val="auto"/>
        <w:sz w:val="22"/>
      </w:rPr>
    </w:lvl>
    <w:lvl w:ilvl="3">
      <w:start w:val="1"/>
      <w:numFmt w:val="decimal"/>
      <w:lvlText w:val="%1.%2.%3.%4."/>
      <w:lvlJc w:val="left"/>
      <w:pPr>
        <w:ind w:left="720" w:hanging="720"/>
      </w:pPr>
      <w:rPr>
        <w:rFonts w:ascii="Arial" w:eastAsia="Calibri" w:hAnsi="Arial" w:cs="Arial" w:hint="default"/>
        <w:b w:val="0"/>
        <w:color w:val="auto"/>
        <w:sz w:val="22"/>
      </w:rPr>
    </w:lvl>
    <w:lvl w:ilvl="4">
      <w:start w:val="1"/>
      <w:numFmt w:val="decimal"/>
      <w:lvlText w:val="%1.%2.%3.%4.%5."/>
      <w:lvlJc w:val="left"/>
      <w:pPr>
        <w:ind w:left="1080" w:hanging="1080"/>
      </w:pPr>
      <w:rPr>
        <w:rFonts w:ascii="Arial" w:eastAsia="Calibri" w:hAnsi="Arial" w:cs="Arial" w:hint="default"/>
        <w:b w:val="0"/>
        <w:color w:val="auto"/>
        <w:sz w:val="22"/>
      </w:rPr>
    </w:lvl>
    <w:lvl w:ilvl="5">
      <w:start w:val="1"/>
      <w:numFmt w:val="decimal"/>
      <w:lvlText w:val="%1.%2.%3.%4.%5.%6."/>
      <w:lvlJc w:val="left"/>
      <w:pPr>
        <w:ind w:left="1080" w:hanging="1080"/>
      </w:pPr>
      <w:rPr>
        <w:rFonts w:ascii="Arial" w:eastAsia="Calibri" w:hAnsi="Arial" w:cs="Arial" w:hint="default"/>
        <w:b w:val="0"/>
        <w:color w:val="auto"/>
        <w:sz w:val="22"/>
      </w:rPr>
    </w:lvl>
    <w:lvl w:ilvl="6">
      <w:start w:val="1"/>
      <w:numFmt w:val="decimal"/>
      <w:lvlText w:val="%1.%2.%3.%4.%5.%6.%7."/>
      <w:lvlJc w:val="left"/>
      <w:pPr>
        <w:ind w:left="1440" w:hanging="1440"/>
      </w:pPr>
      <w:rPr>
        <w:rFonts w:ascii="Arial" w:eastAsia="Calibri" w:hAnsi="Arial" w:cs="Arial" w:hint="default"/>
        <w:b w:val="0"/>
        <w:color w:val="auto"/>
        <w:sz w:val="22"/>
      </w:rPr>
    </w:lvl>
    <w:lvl w:ilvl="7">
      <w:start w:val="1"/>
      <w:numFmt w:val="decimal"/>
      <w:lvlText w:val="%1.%2.%3.%4.%5.%6.%7.%8."/>
      <w:lvlJc w:val="left"/>
      <w:pPr>
        <w:ind w:left="1440" w:hanging="1440"/>
      </w:pPr>
      <w:rPr>
        <w:rFonts w:ascii="Arial" w:eastAsia="Calibri" w:hAnsi="Arial" w:cs="Arial" w:hint="default"/>
        <w:b w:val="0"/>
        <w:color w:val="auto"/>
        <w:sz w:val="22"/>
      </w:rPr>
    </w:lvl>
    <w:lvl w:ilvl="8">
      <w:start w:val="1"/>
      <w:numFmt w:val="decimal"/>
      <w:lvlText w:val="%1.%2.%3.%4.%5.%6.%7.%8.%9."/>
      <w:lvlJc w:val="left"/>
      <w:pPr>
        <w:ind w:left="1800" w:hanging="1800"/>
      </w:pPr>
      <w:rPr>
        <w:rFonts w:ascii="Arial" w:eastAsia="Calibri" w:hAnsi="Arial" w:cs="Arial" w:hint="default"/>
        <w:b w:val="0"/>
        <w:color w:val="auto"/>
        <w:sz w:val="22"/>
      </w:rPr>
    </w:lvl>
  </w:abstractNum>
  <w:abstractNum w:abstractNumId="8">
    <w:nsid w:val="26FF4AF9"/>
    <w:multiLevelType w:val="hybridMultilevel"/>
    <w:tmpl w:val="E71EF4A8"/>
    <w:lvl w:ilvl="0" w:tplc="925E8D90">
      <w:start w:val="1"/>
      <w:numFmt w:val="lowerLetter"/>
      <w:lvlText w:val="%1)"/>
      <w:lvlJc w:val="left"/>
      <w:pPr>
        <w:ind w:left="720" w:hanging="360"/>
      </w:pPr>
      <w:rPr>
        <w:sz w:val="24"/>
        <w:szCs w:val="24"/>
      </w:rPr>
    </w:lvl>
    <w:lvl w:ilvl="1" w:tplc="A628E9F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8B4C99"/>
    <w:multiLevelType w:val="hybridMultilevel"/>
    <w:tmpl w:val="F15E66A8"/>
    <w:lvl w:ilvl="0" w:tplc="BF92FD2C">
      <w:start w:val="1"/>
      <w:numFmt w:val="decimal"/>
      <w:pStyle w:val="Nadpis1"/>
      <w:lvlText w:val="%1."/>
      <w:lvlJc w:val="left"/>
      <w:pPr>
        <w:ind w:left="720" w:hanging="360"/>
      </w:pPr>
      <w:rPr>
        <w:rFonts w:ascii="Times New Roman" w:hAnsi="Times New Roman" w:cs="Times New Roman" w:hint="default"/>
        <w:b/>
        <w:i w:val="0"/>
        <w:sz w:val="26"/>
        <w:szCs w:val="26"/>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412AB9"/>
    <w:multiLevelType w:val="multilevel"/>
    <w:tmpl w:val="94560AC4"/>
    <w:lvl w:ilvl="0">
      <w:start w:val="1"/>
      <w:numFmt w:val="decimal"/>
      <w:pStyle w:val="Moje1"/>
      <w:lvlText w:val="%1."/>
      <w:lvlJc w:val="left"/>
      <w:pPr>
        <w:ind w:left="284" w:hanging="284"/>
      </w:pPr>
      <w:rPr>
        <w:rFonts w:hint="default"/>
      </w:rPr>
    </w:lvl>
    <w:lvl w:ilvl="1">
      <w:start w:val="1"/>
      <w:numFmt w:val="decimal"/>
      <w:pStyle w:val="Moje2"/>
      <w:lvlText w:val="%1.%2."/>
      <w:lvlJc w:val="left"/>
      <w:pPr>
        <w:ind w:left="284" w:hanging="284"/>
      </w:pPr>
      <w:rPr>
        <w:rFonts w:hint="default"/>
      </w:rPr>
    </w:lvl>
    <w:lvl w:ilvl="2">
      <w:start w:val="1"/>
      <w:numFmt w:val="decimal"/>
      <w:pStyle w:val="Moje3"/>
      <w:lvlText w:val="%1.%2.%3."/>
      <w:lvlJc w:val="left"/>
      <w:pPr>
        <w:ind w:left="284" w:hanging="284"/>
      </w:pPr>
      <w:rPr>
        <w:rFonts w:hint="default"/>
        <w:sz w:val="24"/>
        <w:szCs w:val="24"/>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1">
    <w:nsid w:val="4FEE3608"/>
    <w:multiLevelType w:val="hybridMultilevel"/>
    <w:tmpl w:val="02365172"/>
    <w:lvl w:ilvl="0" w:tplc="72B63E6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547F57BB"/>
    <w:multiLevelType w:val="hybridMultilevel"/>
    <w:tmpl w:val="E046829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552F2B91"/>
    <w:multiLevelType w:val="multilevel"/>
    <w:tmpl w:val="2B06E7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AF2D5C"/>
    <w:multiLevelType w:val="multilevel"/>
    <w:tmpl w:val="2B06E7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036F32"/>
    <w:multiLevelType w:val="multilevel"/>
    <w:tmpl w:val="626070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0D86471"/>
    <w:multiLevelType w:val="hybridMultilevel"/>
    <w:tmpl w:val="E1BA5F80"/>
    <w:lvl w:ilvl="0" w:tplc="72B63E6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79D41367"/>
    <w:multiLevelType w:val="hybridMultilevel"/>
    <w:tmpl w:val="ED94EA72"/>
    <w:lvl w:ilvl="0" w:tplc="AE58E9F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DD4750E"/>
    <w:multiLevelType w:val="hybridMultilevel"/>
    <w:tmpl w:val="1B96BABE"/>
    <w:lvl w:ilvl="0" w:tplc="97B22CFC">
      <w:start w:val="1"/>
      <w:numFmt w:val="lowerLetter"/>
      <w:lvlText w:val="%1)"/>
      <w:lvlJc w:val="left"/>
      <w:pPr>
        <w:ind w:left="1429" w:hanging="360"/>
      </w:pPr>
      <w:rPr>
        <w:sz w:val="24"/>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nsid w:val="7F604C7F"/>
    <w:multiLevelType w:val="hybridMultilevel"/>
    <w:tmpl w:val="09BCC242"/>
    <w:lvl w:ilvl="0" w:tplc="E96C54D4">
      <w:start w:val="1"/>
      <w:numFmt w:val="bullet"/>
      <w:lvlText w:val=""/>
      <w:lvlJc w:val="left"/>
      <w:pPr>
        <w:ind w:left="1429" w:hanging="360"/>
      </w:pPr>
      <w:rPr>
        <w:rFonts w:ascii="Symbol" w:hAnsi="Symbol" w:hint="default"/>
        <w:color w:val="auto"/>
        <w:sz w:val="24"/>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6"/>
  </w:num>
  <w:num w:numId="8">
    <w:abstractNumId w:val="11"/>
  </w:num>
  <w:num w:numId="9">
    <w:abstractNumId w:val="12"/>
  </w:num>
  <w:num w:numId="10">
    <w:abstractNumId w:val="9"/>
  </w:num>
  <w:num w:numId="11">
    <w:abstractNumId w:val="7"/>
  </w:num>
  <w:num w:numId="12">
    <w:abstractNumId w:val="6"/>
  </w:num>
  <w:num w:numId="13">
    <w:abstractNumId w:val="15"/>
  </w:num>
  <w:num w:numId="14">
    <w:abstractNumId w:val="13"/>
  </w:num>
  <w:num w:numId="15">
    <w:abstractNumId w:val="14"/>
  </w:num>
  <w:num w:numId="16">
    <w:abstractNumId w:val="5"/>
  </w:num>
  <w:num w:numId="17">
    <w:abstractNumId w:val="17"/>
  </w:num>
  <w:num w:numId="18">
    <w:abstractNumId w:val="19"/>
  </w:num>
  <w:num w:numId="19">
    <w:abstractNumId w:val="18"/>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AC"/>
    <w:rsid w:val="000540ED"/>
    <w:rsid w:val="001531B5"/>
    <w:rsid w:val="001B1186"/>
    <w:rsid w:val="001C6202"/>
    <w:rsid w:val="001E25AC"/>
    <w:rsid w:val="00207F3F"/>
    <w:rsid w:val="002B6D72"/>
    <w:rsid w:val="003975B5"/>
    <w:rsid w:val="003F4CA1"/>
    <w:rsid w:val="004C57D1"/>
    <w:rsid w:val="00515A7C"/>
    <w:rsid w:val="00525B17"/>
    <w:rsid w:val="00555533"/>
    <w:rsid w:val="005F3E14"/>
    <w:rsid w:val="00607F5B"/>
    <w:rsid w:val="00643F26"/>
    <w:rsid w:val="00670310"/>
    <w:rsid w:val="006A129A"/>
    <w:rsid w:val="006B46B5"/>
    <w:rsid w:val="008452DE"/>
    <w:rsid w:val="00866C27"/>
    <w:rsid w:val="008A4313"/>
    <w:rsid w:val="0091106F"/>
    <w:rsid w:val="00985251"/>
    <w:rsid w:val="009E2E79"/>
    <w:rsid w:val="00A3419D"/>
    <w:rsid w:val="00A40F8D"/>
    <w:rsid w:val="00A957F8"/>
    <w:rsid w:val="00B1778F"/>
    <w:rsid w:val="00B24C0A"/>
    <w:rsid w:val="00CC7133"/>
    <w:rsid w:val="00CE7D1D"/>
    <w:rsid w:val="00DF01B4"/>
    <w:rsid w:val="00E120D7"/>
    <w:rsid w:val="00EB2BCE"/>
    <w:rsid w:val="00F00C9F"/>
    <w:rsid w:val="00F733C1"/>
    <w:rsid w:val="00F73EB5"/>
    <w:rsid w:val="00FE13E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217FB"/>
  <w15:docId w15:val="{F2B31B40-4181-4A4C-A108-926CF7DE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25A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1E25AC"/>
    <w:pPr>
      <w:keepNext/>
      <w:numPr>
        <w:numId w:val="10"/>
      </w:numPr>
      <w:tabs>
        <w:tab w:val="num" w:pos="0"/>
      </w:tabs>
      <w:spacing w:before="240" w:after="60"/>
      <w:outlineLvl w:val="0"/>
    </w:pPr>
    <w:rPr>
      <w:rFonts w:ascii="Calibri" w:hAnsi="Calibri" w:cs="Calibri"/>
      <w:b/>
      <w:bCs/>
      <w:kern w:val="1"/>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25AC"/>
    <w:rPr>
      <w:rFonts w:ascii="Calibri" w:eastAsia="Times New Roman" w:hAnsi="Calibri" w:cs="Calibri"/>
      <w:b/>
      <w:bCs/>
      <w:kern w:val="1"/>
      <w:sz w:val="24"/>
      <w:szCs w:val="32"/>
      <w:lang w:eastAsia="ar-SA"/>
    </w:rPr>
  </w:style>
  <w:style w:type="character" w:styleId="Hypertextovodkaz">
    <w:name w:val="Hyperlink"/>
    <w:rsid w:val="001E25AC"/>
    <w:rPr>
      <w:color w:val="0000FF"/>
      <w:u w:val="single"/>
    </w:rPr>
  </w:style>
  <w:style w:type="paragraph" w:styleId="Zkladntext">
    <w:name w:val="Body Text"/>
    <w:basedOn w:val="Normln"/>
    <w:link w:val="ZkladntextChar"/>
    <w:rsid w:val="001E25AC"/>
    <w:pPr>
      <w:jc w:val="both"/>
    </w:pPr>
  </w:style>
  <w:style w:type="character" w:customStyle="1" w:styleId="ZkladntextChar">
    <w:name w:val="Základní text Char"/>
    <w:basedOn w:val="Standardnpsmoodstavce"/>
    <w:link w:val="Zkladntext"/>
    <w:rsid w:val="001E25AC"/>
    <w:rPr>
      <w:rFonts w:ascii="Times New Roman" w:eastAsia="Times New Roman" w:hAnsi="Times New Roman" w:cs="Times New Roman"/>
      <w:sz w:val="24"/>
      <w:szCs w:val="24"/>
      <w:lang w:eastAsia="ar-SA"/>
    </w:rPr>
  </w:style>
  <w:style w:type="paragraph" w:styleId="Seznam">
    <w:name w:val="List"/>
    <w:basedOn w:val="Normln"/>
    <w:rsid w:val="001E25AC"/>
    <w:pPr>
      <w:ind w:left="283" w:hanging="283"/>
    </w:pPr>
  </w:style>
  <w:style w:type="paragraph" w:customStyle="1" w:styleId="Zkladntext22">
    <w:name w:val="Základní text 22"/>
    <w:basedOn w:val="Normln"/>
    <w:rsid w:val="001E25AC"/>
    <w:pPr>
      <w:jc w:val="center"/>
    </w:pPr>
    <w:rPr>
      <w:b/>
      <w:bCs/>
    </w:rPr>
  </w:style>
  <w:style w:type="paragraph" w:styleId="Zhlav">
    <w:name w:val="header"/>
    <w:basedOn w:val="Normln"/>
    <w:link w:val="ZhlavChar"/>
    <w:rsid w:val="001E25AC"/>
  </w:style>
  <w:style w:type="character" w:customStyle="1" w:styleId="ZhlavChar">
    <w:name w:val="Záhlaví Char"/>
    <w:basedOn w:val="Standardnpsmoodstavce"/>
    <w:link w:val="Zhlav"/>
    <w:rsid w:val="001E25AC"/>
    <w:rPr>
      <w:rFonts w:ascii="Times New Roman" w:eastAsia="Times New Roman" w:hAnsi="Times New Roman" w:cs="Times New Roman"/>
      <w:sz w:val="24"/>
      <w:szCs w:val="24"/>
      <w:lang w:eastAsia="ar-SA"/>
    </w:rPr>
  </w:style>
  <w:style w:type="paragraph" w:styleId="Zpat">
    <w:name w:val="footer"/>
    <w:basedOn w:val="Normln"/>
    <w:link w:val="ZpatChar"/>
    <w:rsid w:val="001E25AC"/>
  </w:style>
  <w:style w:type="character" w:customStyle="1" w:styleId="ZpatChar">
    <w:name w:val="Zápatí Char"/>
    <w:basedOn w:val="Standardnpsmoodstavce"/>
    <w:link w:val="Zpat"/>
    <w:rsid w:val="001E25AC"/>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1E25AC"/>
    <w:pPr>
      <w:spacing w:line="360" w:lineRule="auto"/>
      <w:ind w:left="720"/>
    </w:pPr>
    <w:rPr>
      <w:sz w:val="28"/>
      <w:szCs w:val="20"/>
    </w:rPr>
  </w:style>
  <w:style w:type="paragraph" w:customStyle="1" w:styleId="mntNormln">
    <w:name w:val="mntNormální"/>
    <w:rsid w:val="001E25AC"/>
    <w:pPr>
      <w:suppressAutoHyphens/>
      <w:autoSpaceDE w:val="0"/>
      <w:spacing w:after="0" w:line="240" w:lineRule="auto"/>
    </w:pPr>
    <w:rPr>
      <w:rFonts w:ascii="Arial" w:eastAsia="Times New Roman" w:hAnsi="Arial" w:cs="Arial"/>
      <w:color w:val="000000"/>
      <w:sz w:val="24"/>
      <w:szCs w:val="20"/>
      <w:lang w:eastAsia="ar-SA"/>
    </w:rPr>
  </w:style>
  <w:style w:type="paragraph" w:customStyle="1" w:styleId="Seznam31">
    <w:name w:val="Seznam 31"/>
    <w:basedOn w:val="Normln"/>
    <w:rsid w:val="001E25AC"/>
    <w:pPr>
      <w:ind w:left="849" w:hanging="283"/>
    </w:pPr>
  </w:style>
  <w:style w:type="character" w:customStyle="1" w:styleId="OdstavecseseznamemChar">
    <w:name w:val="Odstavec se seznamem Char"/>
    <w:link w:val="Odstavecseseznamem"/>
    <w:uiPriority w:val="34"/>
    <w:locked/>
    <w:rsid w:val="001E25AC"/>
    <w:rPr>
      <w:rFonts w:ascii="Times New Roman" w:eastAsia="Times New Roman" w:hAnsi="Times New Roman" w:cs="Times New Roman"/>
      <w:sz w:val="28"/>
      <w:szCs w:val="20"/>
      <w:lang w:eastAsia="ar-SA"/>
    </w:rPr>
  </w:style>
  <w:style w:type="paragraph" w:customStyle="1" w:styleId="Moje1">
    <w:name w:val="Moje 1"/>
    <w:basedOn w:val="Nadpis1"/>
    <w:qFormat/>
    <w:rsid w:val="00207F3F"/>
    <w:pPr>
      <w:numPr>
        <w:numId w:val="20"/>
      </w:numPr>
      <w:suppressAutoHyphens w:val="0"/>
      <w:spacing w:before="0" w:after="0"/>
      <w:jc w:val="center"/>
    </w:pPr>
    <w:rPr>
      <w:rFonts w:ascii="Times New Roman" w:hAnsi="Times New Roman" w:cs="Times New Roman"/>
      <w:kern w:val="32"/>
      <w:sz w:val="28"/>
      <w:szCs w:val="28"/>
      <w:lang w:val="x-none" w:eastAsia="x-none"/>
    </w:rPr>
  </w:style>
  <w:style w:type="paragraph" w:customStyle="1" w:styleId="Moje2">
    <w:name w:val="Moje 2"/>
    <w:basedOn w:val="Moje1"/>
    <w:autoRedefine/>
    <w:qFormat/>
    <w:rsid w:val="00207F3F"/>
    <w:pPr>
      <w:keepNext w:val="0"/>
      <w:widowControl w:val="0"/>
      <w:numPr>
        <w:ilvl w:val="1"/>
      </w:numPr>
      <w:tabs>
        <w:tab w:val="left" w:pos="284"/>
      </w:tabs>
      <w:autoSpaceDE w:val="0"/>
      <w:autoSpaceDN w:val="0"/>
      <w:adjustRightInd w:val="0"/>
      <w:mirrorIndents/>
      <w:jc w:val="both"/>
      <w:outlineLvl w:val="9"/>
    </w:pPr>
    <w:rPr>
      <w:b w:val="0"/>
      <w:bCs w:val="0"/>
      <w:color w:val="000000"/>
      <w:sz w:val="24"/>
    </w:rPr>
  </w:style>
  <w:style w:type="paragraph" w:customStyle="1" w:styleId="Moje3">
    <w:name w:val="Moje 3"/>
    <w:basedOn w:val="Moje2"/>
    <w:autoRedefine/>
    <w:qFormat/>
    <w:rsid w:val="00207F3F"/>
    <w:pPr>
      <w:numPr>
        <w:ilvl w:val="2"/>
      </w:numPr>
      <w:ind w:left="567" w:hanging="567"/>
    </w:pPr>
  </w:style>
  <w:style w:type="character" w:styleId="Odkaznakoment">
    <w:name w:val="annotation reference"/>
    <w:basedOn w:val="Standardnpsmoodstavce"/>
    <w:uiPriority w:val="99"/>
    <w:semiHidden/>
    <w:unhideWhenUsed/>
    <w:rsid w:val="001C6202"/>
    <w:rPr>
      <w:sz w:val="16"/>
      <w:szCs w:val="16"/>
    </w:rPr>
  </w:style>
  <w:style w:type="paragraph" w:styleId="Textkomente">
    <w:name w:val="annotation text"/>
    <w:basedOn w:val="Normln"/>
    <w:link w:val="TextkomenteChar"/>
    <w:uiPriority w:val="99"/>
    <w:semiHidden/>
    <w:unhideWhenUsed/>
    <w:rsid w:val="001C6202"/>
    <w:rPr>
      <w:sz w:val="20"/>
      <w:szCs w:val="20"/>
    </w:rPr>
  </w:style>
  <w:style w:type="character" w:customStyle="1" w:styleId="TextkomenteChar">
    <w:name w:val="Text komentáře Char"/>
    <w:basedOn w:val="Standardnpsmoodstavce"/>
    <w:link w:val="Textkomente"/>
    <w:uiPriority w:val="99"/>
    <w:semiHidden/>
    <w:rsid w:val="001C6202"/>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1C6202"/>
    <w:rPr>
      <w:b/>
      <w:bCs/>
    </w:rPr>
  </w:style>
  <w:style w:type="character" w:customStyle="1" w:styleId="PedmtkomenteChar">
    <w:name w:val="Předmět komentáře Char"/>
    <w:basedOn w:val="TextkomenteChar"/>
    <w:link w:val="Pedmtkomente"/>
    <w:uiPriority w:val="99"/>
    <w:semiHidden/>
    <w:rsid w:val="001C6202"/>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1C62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6202"/>
    <w:rPr>
      <w:rFonts w:ascii="Segoe UI" w:eastAsia="Times New Roman" w:hAnsi="Segoe UI" w:cs="Segoe UI"/>
      <w:sz w:val="18"/>
      <w:szCs w:val="18"/>
      <w:lang w:eastAsia="ar-SA"/>
    </w:rPr>
  </w:style>
  <w:style w:type="paragraph" w:styleId="Textpoznpodarou">
    <w:name w:val="footnote text"/>
    <w:basedOn w:val="Normln"/>
    <w:link w:val="TextpoznpodarouChar"/>
    <w:uiPriority w:val="99"/>
    <w:semiHidden/>
    <w:unhideWhenUsed/>
    <w:rsid w:val="001C6202"/>
    <w:rPr>
      <w:sz w:val="20"/>
      <w:szCs w:val="20"/>
    </w:rPr>
  </w:style>
  <w:style w:type="character" w:customStyle="1" w:styleId="TextpoznpodarouChar">
    <w:name w:val="Text pozn. pod čarou Char"/>
    <w:basedOn w:val="Standardnpsmoodstavce"/>
    <w:link w:val="Textpoznpodarou"/>
    <w:uiPriority w:val="99"/>
    <w:semiHidden/>
    <w:rsid w:val="001C6202"/>
    <w:rPr>
      <w:rFonts w:ascii="Times New Roman" w:eastAsia="Times New Roman" w:hAnsi="Times New Roman" w:cs="Times New Roman"/>
      <w:sz w:val="20"/>
      <w:szCs w:val="20"/>
      <w:lang w:eastAsia="ar-SA"/>
    </w:rPr>
  </w:style>
  <w:style w:type="character" w:styleId="Znakapoznpodarou">
    <w:name w:val="footnote reference"/>
    <w:basedOn w:val="Standardnpsmoodstavce"/>
    <w:uiPriority w:val="99"/>
    <w:semiHidden/>
    <w:unhideWhenUsed/>
    <w:rsid w:val="001C6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F26A-82F9-432B-9FBD-47A51859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6788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Topič Petr, Ing.</dc:creator>
  <cp:lastModifiedBy>Sádlová Ilona</cp:lastModifiedBy>
  <cp:revision>2</cp:revision>
  <dcterms:created xsi:type="dcterms:W3CDTF">2017-12-11T10:16:00Z</dcterms:created>
  <dcterms:modified xsi:type="dcterms:W3CDTF">2017-12-11T10:16:00Z</dcterms:modified>
</cp:coreProperties>
</file>