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68CC1BE1" w:rsidR="00C70D4B" w:rsidRPr="00310B40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10B40">
        <w:rPr>
          <w:rFonts w:ascii="Arial" w:eastAsia="Times New Roman" w:hAnsi="Arial" w:cs="Arial"/>
          <w:lang w:eastAsia="cs-CZ"/>
        </w:rPr>
        <w:t xml:space="preserve">Příloha č. </w:t>
      </w:r>
      <w:r w:rsidR="00591F72" w:rsidRPr="00310B40">
        <w:rPr>
          <w:rFonts w:ascii="Arial" w:eastAsia="Times New Roman" w:hAnsi="Arial" w:cs="Arial"/>
          <w:lang w:eastAsia="cs-CZ"/>
        </w:rPr>
        <w:t>1</w:t>
      </w:r>
      <w:r w:rsidR="00591F72" w:rsidRPr="00310B40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310B40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310B40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310B40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310B40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11DF2167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10B40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10B40">
        <w:rPr>
          <w:rFonts w:ascii="Arial" w:eastAsia="Times New Roman" w:hAnsi="Arial" w:cs="Arial"/>
          <w:bCs/>
          <w:lang w:eastAsia="cs-CZ"/>
        </w:rPr>
        <w:t>dodávky</w:t>
      </w:r>
      <w:r w:rsidRPr="00310B40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7AB543A6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310B40" w:rsidRPr="00310B40">
        <w:rPr>
          <w:rFonts w:ascii="Arial" w:eastAsia="Times New Roman" w:hAnsi="Arial" w:cs="Arial"/>
          <w:b/>
          <w:u w:val="single"/>
          <w:lang w:eastAsia="cs-CZ"/>
        </w:rPr>
        <w:t xml:space="preserve">Prodloužení </w:t>
      </w:r>
      <w:proofErr w:type="spellStart"/>
      <w:r w:rsidR="00310B40" w:rsidRPr="00310B40">
        <w:rPr>
          <w:rFonts w:ascii="Arial" w:eastAsia="Times New Roman" w:hAnsi="Arial" w:cs="Arial"/>
          <w:b/>
          <w:u w:val="single"/>
          <w:lang w:eastAsia="cs-CZ"/>
        </w:rPr>
        <w:t>maintenance</w:t>
      </w:r>
      <w:proofErr w:type="spellEnd"/>
      <w:r w:rsidR="00310B40" w:rsidRPr="00310B40">
        <w:rPr>
          <w:rFonts w:ascii="Arial" w:eastAsia="Times New Roman" w:hAnsi="Arial" w:cs="Arial"/>
          <w:b/>
          <w:u w:val="single"/>
          <w:lang w:eastAsia="cs-CZ"/>
        </w:rPr>
        <w:t xml:space="preserve"> licence Bezpečnostního portálu 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1ABF28F" w:rsidR="00C70D4B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10B40" w:rsidRPr="00310B40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CE6EE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CE6EE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748C0866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Veřejná zakázka malého rozsahu n</w:t>
      </w:r>
      <w:r w:rsidRPr="00F41D89">
        <w:rPr>
          <w:rFonts w:ascii="Arial" w:eastAsia="Times New Roman" w:hAnsi="Arial" w:cs="Arial"/>
          <w:lang w:eastAsia="cs-CZ"/>
        </w:rPr>
        <w:t xml:space="preserve">a </w:t>
      </w:r>
      <w:r w:rsidR="004F0034" w:rsidRPr="00F41D89">
        <w:rPr>
          <w:rFonts w:ascii="Arial" w:eastAsia="Times New Roman" w:hAnsi="Arial" w:cs="Arial"/>
          <w:bCs/>
          <w:lang w:eastAsia="cs-CZ"/>
        </w:rPr>
        <w:t>dodávky</w:t>
      </w:r>
      <w:r w:rsidRPr="00F41D89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33221EB9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F41D89" w:rsidRPr="00F41D89">
        <w:rPr>
          <w:rFonts w:ascii="Arial" w:eastAsia="Times New Roman" w:hAnsi="Arial" w:cs="Arial"/>
          <w:b/>
          <w:bCs/>
          <w:u w:val="single"/>
          <w:lang w:eastAsia="cs-CZ"/>
        </w:rPr>
        <w:t xml:space="preserve">Prodloužení </w:t>
      </w:r>
      <w:proofErr w:type="spellStart"/>
      <w:r w:rsidR="00F41D89" w:rsidRPr="00F41D89">
        <w:rPr>
          <w:rFonts w:ascii="Arial" w:eastAsia="Times New Roman" w:hAnsi="Arial" w:cs="Arial"/>
          <w:b/>
          <w:bCs/>
          <w:u w:val="single"/>
          <w:lang w:eastAsia="cs-CZ"/>
        </w:rPr>
        <w:t>maintenance</w:t>
      </w:r>
      <w:proofErr w:type="spellEnd"/>
      <w:r w:rsidR="00F41D89" w:rsidRPr="00F41D89">
        <w:rPr>
          <w:rFonts w:ascii="Arial" w:eastAsia="Times New Roman" w:hAnsi="Arial" w:cs="Arial"/>
          <w:b/>
          <w:bCs/>
          <w:u w:val="single"/>
          <w:lang w:eastAsia="cs-CZ"/>
        </w:rPr>
        <w:t xml:space="preserve"> licence Bezpečnostního portálu 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0535E04D" w14:textId="793AAEBC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 xml:space="preserve">Příloha </w:t>
      </w:r>
      <w:r w:rsidRPr="00A47DFC">
        <w:rPr>
          <w:rFonts w:ascii="Arial" w:hAnsi="Arial" w:cs="Arial"/>
        </w:rPr>
        <w:t xml:space="preserve">č. </w:t>
      </w:r>
      <w:r w:rsidR="00A47DFC" w:rsidRPr="00A47DFC">
        <w:rPr>
          <w:rFonts w:ascii="Arial" w:hAnsi="Arial" w:cs="Arial"/>
        </w:rPr>
        <w:t>3</w:t>
      </w:r>
      <w:r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2BF97693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A47DFC" w:rsidRPr="00A47DFC">
        <w:rPr>
          <w:rFonts w:ascii="Arial" w:hAnsi="Arial" w:cs="Arial"/>
          <w:b/>
        </w:rPr>
        <w:t xml:space="preserve">Prodloužení </w:t>
      </w:r>
      <w:proofErr w:type="spellStart"/>
      <w:r w:rsidR="00A47DFC" w:rsidRPr="00A47DFC">
        <w:rPr>
          <w:rFonts w:ascii="Arial" w:hAnsi="Arial" w:cs="Arial"/>
          <w:b/>
        </w:rPr>
        <w:t>maintenance</w:t>
      </w:r>
      <w:proofErr w:type="spellEnd"/>
      <w:r w:rsidR="00A47DFC" w:rsidRPr="00A47DFC">
        <w:rPr>
          <w:rFonts w:ascii="Arial" w:hAnsi="Arial" w:cs="Arial"/>
          <w:b/>
        </w:rPr>
        <w:t xml:space="preserve"> licence Bezpečnostního portálu MČ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0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0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1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2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97EC8B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bookmarkStart w:id="3" w:name="_GoBack"/>
      <w:bookmarkEnd w:id="3"/>
      <w:r w:rsidRPr="00A47DFC">
        <w:rPr>
          <w:rFonts w:ascii="Arial" w:hAnsi="Arial" w:cs="Arial"/>
          <w:bCs/>
        </w:rPr>
        <w:lastRenderedPageBreak/>
        <w:t xml:space="preserve">Příloha č. </w:t>
      </w:r>
      <w:r w:rsidR="00A47DFC" w:rsidRPr="00A47DFC">
        <w:rPr>
          <w:rFonts w:ascii="Arial" w:hAnsi="Arial" w:cs="Arial"/>
          <w:bCs/>
        </w:rPr>
        <w:t>4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21D9B7F7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A47DFC" w:rsidRPr="00A47DFC">
        <w:rPr>
          <w:rFonts w:ascii="Arial" w:hAnsi="Arial" w:cs="Arial"/>
          <w:b/>
          <w:u w:val="single"/>
        </w:rPr>
        <w:t xml:space="preserve">Prodloužení </w:t>
      </w:r>
      <w:proofErr w:type="spellStart"/>
      <w:r w:rsidR="00A47DFC" w:rsidRPr="00A47DFC">
        <w:rPr>
          <w:rFonts w:ascii="Arial" w:hAnsi="Arial" w:cs="Arial"/>
          <w:b/>
          <w:u w:val="single"/>
        </w:rPr>
        <w:t>maintenance</w:t>
      </w:r>
      <w:proofErr w:type="spellEnd"/>
      <w:r w:rsidR="00A47DFC" w:rsidRPr="00A47DFC">
        <w:rPr>
          <w:rFonts w:ascii="Arial" w:hAnsi="Arial" w:cs="Arial"/>
          <w:b/>
          <w:u w:val="single"/>
        </w:rPr>
        <w:t xml:space="preserve"> licence Bezpečnostního portálu MČ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10B40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91F72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47DFC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41D89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1467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2</cp:revision>
  <dcterms:created xsi:type="dcterms:W3CDTF">2026-02-11T15:16:00Z</dcterms:created>
  <dcterms:modified xsi:type="dcterms:W3CDTF">2026-02-11T15:16:00Z</dcterms:modified>
</cp:coreProperties>
</file>